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505A" w14:textId="77777777" w:rsidR="00D307A3" w:rsidRPr="00D307A3" w:rsidRDefault="00D307A3" w:rsidP="00D307A3">
      <w:pPr>
        <w:keepNext/>
        <w:keepLines/>
        <w:spacing w:after="80" w:line="276" w:lineRule="auto"/>
        <w:ind w:left="360" w:right="130" w:hanging="360"/>
        <w:jc w:val="center"/>
        <w:outlineLvl w:val="0"/>
        <w:rPr>
          <w:rFonts w:ascii="Times New Roman" w:eastAsiaTheme="majorEastAsia" w:hAnsi="Times New Roman" w:cs="Times New Roman"/>
          <w:b/>
          <w:bCs/>
          <w:kern w:val="0"/>
          <w:sz w:val="28"/>
          <w:szCs w:val="28"/>
          <w:highlight w:val="yellow"/>
          <w14:ligatures w14:val="none"/>
        </w:rPr>
      </w:pPr>
      <w:bookmarkStart w:id="0" w:name="_Toc35437125"/>
      <w:bookmarkStart w:id="1" w:name="_Toc37415787"/>
      <w:bookmarkStart w:id="2" w:name="_Toc98500998"/>
      <w:bookmarkStart w:id="3" w:name="Appendix_J"/>
      <w:r w:rsidRPr="00D307A3">
        <w:rPr>
          <w:rFonts w:ascii="Times New Roman" w:eastAsiaTheme="majorEastAsia" w:hAnsi="Times New Roman" w:cs="Times New Roman"/>
          <w:b/>
          <w:bCs/>
          <w:kern w:val="0"/>
          <w:sz w:val="28"/>
          <w:szCs w:val="28"/>
          <w14:ligatures w14:val="none"/>
        </w:rPr>
        <w:t>Appendix J</w:t>
      </w:r>
      <w:bookmarkEnd w:id="0"/>
      <w:bookmarkEnd w:id="1"/>
      <w:bookmarkEnd w:id="2"/>
      <w:r w:rsidRPr="00D307A3">
        <w:rPr>
          <w:rFonts w:ascii="Times New Roman" w:eastAsiaTheme="majorEastAsia" w:hAnsi="Times New Roman" w:cs="Times New Roman"/>
          <w:b/>
          <w:bCs/>
          <w:kern w:val="0"/>
          <w:sz w:val="28"/>
          <w:szCs w:val="28"/>
          <w14:ligatures w14:val="none"/>
        </w:rPr>
        <w:t xml:space="preserve">  </w:t>
      </w:r>
      <w:bookmarkEnd w:id="3"/>
    </w:p>
    <w:p w14:paraId="4E70779E" w14:textId="77777777" w:rsidR="00D307A3" w:rsidRPr="00D307A3" w:rsidRDefault="00D307A3" w:rsidP="00D307A3">
      <w:pPr>
        <w:spacing w:after="0" w:line="276" w:lineRule="auto"/>
        <w:ind w:left="360" w:right="-720" w:hanging="360"/>
        <w:jc w:val="center"/>
        <w:rPr>
          <w:rFonts w:ascii="Times New Roman" w:hAnsi="Times New Roman" w:cs="Times New Roman"/>
          <w:b/>
          <w:bCs/>
          <w:kern w:val="0"/>
          <w14:ligatures w14:val="none"/>
        </w:rPr>
      </w:pPr>
      <w:r w:rsidRPr="00D307A3">
        <w:rPr>
          <w:rFonts w:ascii="Times New Roman" w:hAnsi="Times New Roman" w:cs="Times New Roman"/>
          <w:b/>
          <w:bCs/>
          <w:kern w:val="0"/>
          <w14:ligatures w14:val="none"/>
        </w:rPr>
        <w:t>Budget Information</w:t>
      </w:r>
    </w:p>
    <w:p w14:paraId="4BA9CA08" w14:textId="77777777" w:rsidR="00D307A3" w:rsidRPr="00D307A3" w:rsidRDefault="00D307A3" w:rsidP="00D307A3">
      <w:pPr>
        <w:spacing w:after="0" w:line="276" w:lineRule="auto"/>
        <w:ind w:left="360" w:right="-720" w:hanging="360"/>
        <w:jc w:val="center"/>
        <w:rPr>
          <w:rFonts w:ascii="Times New Roman" w:hAnsi="Times New Roman" w:cs="Times New Roman"/>
          <w:b/>
          <w:bCs/>
          <w:kern w:val="0"/>
          <w14:ligatures w14:val="none"/>
        </w:rPr>
      </w:pPr>
      <w:r w:rsidRPr="00D307A3">
        <w:rPr>
          <w:rFonts w:ascii="Times New Roman" w:hAnsi="Times New Roman" w:cs="Times New Roman"/>
          <w:b/>
          <w:bCs/>
          <w:kern w:val="0"/>
          <w14:ligatures w14:val="none"/>
        </w:rPr>
        <w:t>Staffing and Budget Considerations</w:t>
      </w:r>
    </w:p>
    <w:p w14:paraId="4BB86262" w14:textId="77777777" w:rsidR="00D307A3" w:rsidRPr="00D307A3" w:rsidRDefault="00D307A3" w:rsidP="00D307A3">
      <w:pPr>
        <w:spacing w:after="0" w:line="276" w:lineRule="auto"/>
        <w:ind w:left="360" w:right="-720" w:hanging="360"/>
        <w:jc w:val="center"/>
        <w:rPr>
          <w:rFonts w:asciiTheme="majorHAnsi" w:hAnsiTheme="majorHAnsi" w:cstheme="majorHAnsi"/>
          <w:b/>
          <w:bCs/>
          <w:kern w:val="0"/>
          <w14:ligatures w14:val="none"/>
        </w:rPr>
      </w:pPr>
    </w:p>
    <w:p w14:paraId="7BA31C65" w14:textId="77777777" w:rsidR="00D307A3" w:rsidRPr="00D307A3" w:rsidRDefault="00D307A3" w:rsidP="00D307A3">
      <w:pPr>
        <w:spacing w:after="0" w:line="276" w:lineRule="auto"/>
        <w:ind w:left="360" w:right="-720" w:hanging="360"/>
        <w:jc w:val="both"/>
        <w:rPr>
          <w:rFonts w:asciiTheme="majorHAnsi" w:hAnsiTheme="majorHAnsi" w:cstheme="majorHAnsi"/>
          <w:b/>
          <w:bCs/>
          <w:kern w:val="0"/>
          <w14:ligatures w14:val="none"/>
        </w:rPr>
      </w:pPr>
      <w:r w:rsidRPr="00D307A3">
        <w:rPr>
          <w:rFonts w:asciiTheme="majorHAnsi" w:hAnsiTheme="majorHAnsi" w:cstheme="majorHAnsi"/>
          <w:b/>
          <w:bCs/>
          <w:kern w:val="0"/>
          <w14:ligatures w14:val="none"/>
        </w:rPr>
        <w:t>Budget Considerations</w:t>
      </w:r>
    </w:p>
    <w:p w14:paraId="3B8543E1" w14:textId="58239B36" w:rsidR="00D307A3" w:rsidRPr="00D307A3" w:rsidRDefault="00D307A3" w:rsidP="00D307A3">
      <w:pPr>
        <w:spacing w:after="0" w:line="276" w:lineRule="auto"/>
        <w:ind w:left="360" w:right="-720" w:hanging="360"/>
        <w:rPr>
          <w:rFonts w:asciiTheme="majorHAnsi" w:hAnsiTheme="majorHAnsi" w:cstheme="majorHAnsi"/>
          <w:bCs/>
          <w:kern w:val="0"/>
          <w14:ligatures w14:val="none"/>
        </w:rPr>
      </w:pPr>
      <w:r w:rsidRPr="00D307A3">
        <w:rPr>
          <w:rFonts w:asciiTheme="majorHAnsi" w:hAnsiTheme="majorHAnsi" w:cstheme="majorHAnsi"/>
          <w:b/>
          <w:bCs/>
          <w:kern w:val="0"/>
          <w:u w:val="single"/>
          <w14:ligatures w14:val="none"/>
        </w:rPr>
        <w:t xml:space="preserve">Staffing: </w:t>
      </w:r>
      <w:r w:rsidRPr="00D307A3">
        <w:rPr>
          <w:rFonts w:asciiTheme="majorHAnsi" w:hAnsiTheme="majorHAnsi" w:cstheme="majorHAnsi"/>
          <w:bCs/>
          <w:kern w:val="0"/>
          <w14:ligatures w14:val="none"/>
        </w:rPr>
        <w:t xml:space="preserve">In addition to the information provided in the staffing model, which provides the budget necessary for staffing the Center initially, the Board recommends that the Subrecipient work toward employing a career ladder approach to Staffing to ensure continuation of service and also to encourage high performing staff to remain on-board. The Board strongly encourages a tiered staffing structure or other innovative approach (please describe). The tiered approach envisioned by the Board would provide at least 2 levels for each front-line staff position. The higher level is to be awarded to staff as they meet certain benchmarks and develop certain competencies. These opportunities for advancement would include increased pay and increased responsibilities. The proposer should indicate how the staffing budget prescribed in this RFP differs from the amounts needed to establish such a tiered staffing structure. In other words, what level of additional funding must be directed to staffing if such a structure were put into place? It should be noted that such a staffing structure should encourage more tenured and effective staff which may eventually result in a reduction (through attrition) of staff needed to operate the center. If you have another approach to ensuring staff buy-in and the development of a career ladder/succession plan, please provide those details in your narrative. </w:t>
      </w:r>
      <w:r w:rsidR="00D319FF">
        <w:rPr>
          <w:rFonts w:asciiTheme="majorHAnsi" w:hAnsiTheme="majorHAnsi" w:cstheme="majorHAnsi"/>
          <w:bCs/>
          <w:kern w:val="0"/>
          <w14:ligatures w14:val="none"/>
        </w:rPr>
        <w:t>If temporary staffing is included, explain the purpose of temporary staffing needs by position.</w:t>
      </w:r>
    </w:p>
    <w:p w14:paraId="0289EBE1" w14:textId="540CC8F9" w:rsidR="00D307A3" w:rsidRDefault="00D307A3" w:rsidP="00D307A3">
      <w:pPr>
        <w:spacing w:after="0" w:line="276" w:lineRule="auto"/>
        <w:ind w:left="360" w:right="-720" w:hanging="360"/>
        <w:rPr>
          <w:rFonts w:asciiTheme="majorHAnsi" w:hAnsiTheme="majorHAnsi" w:cstheme="majorHAnsi"/>
          <w:bCs/>
          <w:kern w:val="0"/>
          <w14:ligatures w14:val="none"/>
        </w:rPr>
      </w:pPr>
      <w:r w:rsidRPr="00D307A3">
        <w:rPr>
          <w:rFonts w:asciiTheme="majorHAnsi" w:hAnsiTheme="majorHAnsi" w:cstheme="majorHAnsi"/>
          <w:b/>
          <w:bCs/>
          <w:kern w:val="0"/>
          <w:u w:val="single"/>
          <w14:ligatures w14:val="none"/>
        </w:rPr>
        <w:t xml:space="preserve">Staff Training: </w:t>
      </w:r>
      <w:r w:rsidRPr="00D307A3">
        <w:rPr>
          <w:rFonts w:asciiTheme="majorHAnsi" w:hAnsiTheme="majorHAnsi" w:cstheme="majorHAnsi"/>
          <w:bCs/>
          <w:kern w:val="0"/>
          <w14:ligatures w14:val="none"/>
        </w:rPr>
        <w:t>The Board will provide periodic programmatic training, as well as training</w:t>
      </w:r>
      <w:r w:rsidR="00D319FF">
        <w:rPr>
          <w:rFonts w:asciiTheme="majorHAnsi" w:hAnsiTheme="majorHAnsi" w:cstheme="majorHAnsi"/>
          <w:bCs/>
          <w:kern w:val="0"/>
          <w14:ligatures w14:val="none"/>
        </w:rPr>
        <w:t xml:space="preserve"> for TWC required electronic data management systems</w:t>
      </w:r>
      <w:r w:rsidRPr="00D307A3">
        <w:rPr>
          <w:rFonts w:asciiTheme="majorHAnsi" w:hAnsiTheme="majorHAnsi" w:cstheme="majorHAnsi"/>
          <w:bCs/>
          <w:kern w:val="0"/>
          <w14:ligatures w14:val="none"/>
        </w:rPr>
        <w:t>, and will provide training for identified needs that the Board considers necessary. The Board will also provide Technical Assistance as requested by the Subrecipient and as the Board identifies need. The proposer should budget to provide for new employee orientation training, on-going training to staff stemming from the Board provided trainings (mentorship-type training, for example), and for any additional trainings that the Subrecipient deems important and necessary to ensure development of staff into increasing positions of authority, leadership, and responsibility.</w:t>
      </w:r>
    </w:p>
    <w:p w14:paraId="332254CD" w14:textId="2B34BAFE" w:rsidR="00D319FF" w:rsidRDefault="00D319FF" w:rsidP="00D307A3">
      <w:pPr>
        <w:spacing w:after="0" w:line="276" w:lineRule="auto"/>
        <w:ind w:left="360" w:right="-720" w:hanging="360"/>
        <w:rPr>
          <w:rFonts w:asciiTheme="majorHAnsi" w:hAnsiTheme="majorHAnsi" w:cstheme="majorHAnsi"/>
          <w:kern w:val="0"/>
          <w14:ligatures w14:val="none"/>
        </w:rPr>
      </w:pPr>
      <w:r>
        <w:rPr>
          <w:rFonts w:asciiTheme="majorHAnsi" w:hAnsiTheme="majorHAnsi" w:cstheme="majorHAnsi"/>
          <w:b/>
          <w:bCs/>
          <w:kern w:val="0"/>
          <w:u w:val="single"/>
          <w14:ligatures w14:val="none"/>
        </w:rPr>
        <w:t>Non-Person</w:t>
      </w:r>
      <w:r w:rsidR="00BC39D4">
        <w:rPr>
          <w:rFonts w:asciiTheme="majorHAnsi" w:hAnsiTheme="majorHAnsi" w:cstheme="majorHAnsi"/>
          <w:b/>
          <w:bCs/>
          <w:kern w:val="0"/>
          <w:u w:val="single"/>
          <w14:ligatures w14:val="none"/>
        </w:rPr>
        <w:t>nel Costs</w:t>
      </w:r>
      <w:r w:rsidRPr="00D307A3">
        <w:rPr>
          <w:rFonts w:asciiTheme="majorHAnsi" w:hAnsiTheme="majorHAnsi" w:cstheme="majorHAnsi"/>
          <w:b/>
          <w:bCs/>
          <w:kern w:val="0"/>
          <w:u w:val="single"/>
          <w14:ligatures w14:val="none"/>
        </w:rPr>
        <w:t>:</w:t>
      </w:r>
      <w:r w:rsidR="00BC39D4">
        <w:rPr>
          <w:rFonts w:asciiTheme="majorHAnsi" w:hAnsiTheme="majorHAnsi" w:cstheme="majorHAnsi"/>
          <w:kern w:val="0"/>
          <w14:ligatures w14:val="none"/>
        </w:rPr>
        <w:t xml:space="preserve"> Any non-personnel costs such as equipment lease/rental, insurance, cell phones, membership dues/subscriptions, advertising, etc. </w:t>
      </w:r>
    </w:p>
    <w:p w14:paraId="1393DE2F" w14:textId="6C9AA3C6" w:rsidR="00BC39D4" w:rsidRDefault="00BC39D4" w:rsidP="00D307A3">
      <w:pPr>
        <w:spacing w:after="0" w:line="276" w:lineRule="auto"/>
        <w:ind w:left="360" w:right="-720" w:hanging="360"/>
        <w:rPr>
          <w:rFonts w:asciiTheme="majorHAnsi" w:hAnsiTheme="majorHAnsi" w:cstheme="majorHAnsi"/>
          <w:kern w:val="0"/>
          <w14:ligatures w14:val="none"/>
        </w:rPr>
      </w:pPr>
      <w:r>
        <w:rPr>
          <w:rFonts w:asciiTheme="majorHAnsi" w:hAnsiTheme="majorHAnsi" w:cstheme="majorHAnsi"/>
          <w:b/>
          <w:bCs/>
          <w:kern w:val="0"/>
          <w:u w:val="single"/>
          <w14:ligatures w14:val="none"/>
        </w:rPr>
        <w:t>Contractual Services</w:t>
      </w:r>
      <w:r w:rsidRPr="00D307A3">
        <w:rPr>
          <w:rFonts w:asciiTheme="majorHAnsi" w:hAnsiTheme="majorHAnsi" w:cstheme="majorHAnsi"/>
          <w:b/>
          <w:bCs/>
          <w:kern w:val="0"/>
          <w:u w:val="single"/>
          <w14:ligatures w14:val="none"/>
        </w:rPr>
        <w:t>:</w:t>
      </w:r>
      <w:r>
        <w:rPr>
          <w:rFonts w:asciiTheme="majorHAnsi" w:hAnsiTheme="majorHAnsi" w:cstheme="majorHAnsi"/>
          <w:b/>
          <w:bCs/>
          <w:kern w:val="0"/>
          <w:u w:val="single"/>
          <w14:ligatures w14:val="none"/>
        </w:rPr>
        <w:t xml:space="preserve"> </w:t>
      </w:r>
      <w:r>
        <w:rPr>
          <w:rFonts w:asciiTheme="majorHAnsi" w:hAnsiTheme="majorHAnsi" w:cstheme="majorHAnsi"/>
          <w:kern w:val="0"/>
          <w14:ligatures w14:val="none"/>
        </w:rPr>
        <w:t xml:space="preserve"> Any contractual services such as accounting/bookkeeping, audit , legal, consulting services, etc. </w:t>
      </w:r>
    </w:p>
    <w:p w14:paraId="5830002E" w14:textId="6EECF646" w:rsidR="00BC39D4" w:rsidRDefault="00BC39D4" w:rsidP="00D307A3">
      <w:pPr>
        <w:spacing w:after="0" w:line="276" w:lineRule="auto"/>
        <w:ind w:left="360" w:right="-720" w:hanging="360"/>
        <w:rPr>
          <w:rFonts w:asciiTheme="majorHAnsi" w:hAnsiTheme="majorHAnsi" w:cstheme="majorHAnsi"/>
          <w:kern w:val="0"/>
          <w14:ligatures w14:val="none"/>
        </w:rPr>
      </w:pPr>
      <w:r>
        <w:rPr>
          <w:rFonts w:asciiTheme="majorHAnsi" w:hAnsiTheme="majorHAnsi" w:cstheme="majorHAnsi"/>
          <w:b/>
          <w:bCs/>
          <w:kern w:val="0"/>
          <w:u w:val="single"/>
          <w14:ligatures w14:val="none"/>
        </w:rPr>
        <w:t>Indirect Costs/ Management Fees</w:t>
      </w:r>
      <w:r w:rsidRPr="00D307A3">
        <w:rPr>
          <w:rFonts w:asciiTheme="majorHAnsi" w:hAnsiTheme="majorHAnsi" w:cstheme="majorHAnsi"/>
          <w:b/>
          <w:bCs/>
          <w:kern w:val="0"/>
          <w:u w:val="single"/>
          <w14:ligatures w14:val="none"/>
        </w:rPr>
        <w:t>:</w:t>
      </w:r>
      <w:r w:rsidRPr="00BC39D4">
        <w:rPr>
          <w:rFonts w:asciiTheme="majorHAnsi" w:hAnsiTheme="majorHAnsi" w:cstheme="majorHAnsi"/>
          <w:kern w:val="0"/>
          <w14:ligatures w14:val="none"/>
        </w:rPr>
        <w:t xml:space="preserve"> S</w:t>
      </w:r>
      <w:r>
        <w:rPr>
          <w:rFonts w:asciiTheme="majorHAnsi" w:hAnsiTheme="majorHAnsi" w:cstheme="majorHAnsi"/>
          <w:kern w:val="0"/>
          <w14:ligatures w14:val="none"/>
        </w:rPr>
        <w:t>ubrecipient will s</w:t>
      </w:r>
      <w:r w:rsidRPr="00BC39D4">
        <w:rPr>
          <w:rFonts w:asciiTheme="majorHAnsi" w:hAnsiTheme="majorHAnsi" w:cstheme="majorHAnsi"/>
          <w:kern w:val="0"/>
          <w14:ligatures w14:val="none"/>
        </w:rPr>
        <w:t xml:space="preserve">pecify the rate used and describe the method of calculation used in deriving the rate. You must submit a copy of your approved plan and/or cognizant agency letter approving an indirect cost rate. </w:t>
      </w:r>
      <w:r>
        <w:rPr>
          <w:rFonts w:asciiTheme="majorHAnsi" w:hAnsiTheme="majorHAnsi" w:cstheme="majorHAnsi"/>
          <w:kern w:val="0"/>
          <w14:ligatures w14:val="none"/>
        </w:rPr>
        <w:t>I</w:t>
      </w:r>
      <w:r w:rsidRPr="00BC39D4">
        <w:rPr>
          <w:rFonts w:asciiTheme="majorHAnsi" w:hAnsiTheme="majorHAnsi" w:cstheme="majorHAnsi"/>
          <w:kern w:val="0"/>
          <w14:ligatures w14:val="none"/>
        </w:rPr>
        <w:t xml:space="preserve">dentify the </w:t>
      </w:r>
      <w:r>
        <w:rPr>
          <w:rFonts w:asciiTheme="majorHAnsi" w:hAnsiTheme="majorHAnsi" w:cstheme="majorHAnsi"/>
          <w:kern w:val="0"/>
          <w14:ligatures w14:val="none"/>
        </w:rPr>
        <w:t xml:space="preserve">Management Fee </w:t>
      </w:r>
      <w:r w:rsidRPr="00BC39D4">
        <w:rPr>
          <w:rFonts w:asciiTheme="majorHAnsi" w:hAnsiTheme="majorHAnsi" w:cstheme="majorHAnsi"/>
          <w:kern w:val="0"/>
          <w14:ligatures w14:val="none"/>
        </w:rPr>
        <w:t xml:space="preserve">amount or percent of fee </w:t>
      </w:r>
      <w:r w:rsidRPr="00BC39D4">
        <w:rPr>
          <w:rFonts w:asciiTheme="majorHAnsi" w:hAnsiTheme="majorHAnsi" w:cstheme="majorHAnsi"/>
          <w:kern w:val="0"/>
          <w14:ligatures w14:val="none"/>
        </w:rPr>
        <w:lastRenderedPageBreak/>
        <w:t>used and the method of calculation used in deriving the rate of the fee.  Indirect and/or Management Fees are negotiable and may not be computed on Participant Pass Through expenditures.</w:t>
      </w:r>
    </w:p>
    <w:p w14:paraId="7EDBD627" w14:textId="73AC22E8" w:rsidR="00BC39D4" w:rsidRPr="00D307A3" w:rsidRDefault="00BC39D4" w:rsidP="00D307A3">
      <w:pPr>
        <w:spacing w:after="0" w:line="276" w:lineRule="auto"/>
        <w:ind w:left="360" w:right="-720" w:hanging="360"/>
        <w:rPr>
          <w:rFonts w:asciiTheme="majorHAnsi" w:hAnsiTheme="majorHAnsi" w:cstheme="majorHAnsi"/>
          <w:kern w:val="0"/>
          <w14:ligatures w14:val="none"/>
        </w:rPr>
      </w:pPr>
      <w:r>
        <w:rPr>
          <w:rFonts w:asciiTheme="majorHAnsi" w:hAnsiTheme="majorHAnsi" w:cstheme="majorHAnsi"/>
          <w:b/>
          <w:bCs/>
          <w:kern w:val="0"/>
          <w:u w:val="single"/>
          <w14:ligatures w14:val="none"/>
        </w:rPr>
        <w:t>Profit</w:t>
      </w:r>
      <w:r w:rsidRPr="00D307A3">
        <w:rPr>
          <w:rFonts w:asciiTheme="majorHAnsi" w:hAnsiTheme="majorHAnsi" w:cstheme="majorHAnsi"/>
          <w:b/>
          <w:bCs/>
          <w:kern w:val="0"/>
          <w:u w:val="single"/>
          <w14:ligatures w14:val="none"/>
        </w:rPr>
        <w:t>:</w:t>
      </w:r>
      <w:r>
        <w:rPr>
          <w:rFonts w:asciiTheme="majorHAnsi" w:hAnsiTheme="majorHAnsi" w:cstheme="majorHAnsi"/>
          <w:kern w:val="0"/>
          <w14:ligatures w14:val="none"/>
        </w:rPr>
        <w:t xml:space="preserve"> Subrecipient will specify the proposed profit percentage rate. </w:t>
      </w:r>
      <w:r w:rsidRPr="00BC39D4">
        <w:rPr>
          <w:rFonts w:asciiTheme="majorHAnsi" w:hAnsiTheme="majorHAnsi" w:cstheme="majorHAnsi"/>
          <w:kern w:val="0"/>
          <w14:ligatures w14:val="none"/>
        </w:rPr>
        <w:t xml:space="preserve">Profit is available only </w:t>
      </w:r>
      <w:r>
        <w:rPr>
          <w:rFonts w:asciiTheme="majorHAnsi" w:hAnsiTheme="majorHAnsi" w:cstheme="majorHAnsi"/>
          <w:kern w:val="0"/>
          <w14:ligatures w14:val="none"/>
        </w:rPr>
        <w:t xml:space="preserve">to </w:t>
      </w:r>
      <w:r w:rsidRPr="00BC39D4">
        <w:rPr>
          <w:rFonts w:asciiTheme="majorHAnsi" w:hAnsiTheme="majorHAnsi" w:cstheme="majorHAnsi"/>
          <w:kern w:val="0"/>
          <w14:ligatures w14:val="none"/>
        </w:rPr>
        <w:t xml:space="preserve">for-profit entities. </w:t>
      </w:r>
      <w:r>
        <w:rPr>
          <w:rFonts w:asciiTheme="majorHAnsi" w:hAnsiTheme="majorHAnsi" w:cstheme="majorHAnsi"/>
          <w:kern w:val="0"/>
          <w14:ligatures w14:val="none"/>
        </w:rPr>
        <w:t xml:space="preserve">Profit is </w:t>
      </w:r>
      <w:r w:rsidRPr="00776268">
        <w:rPr>
          <w:spacing w:val="-1"/>
          <w:sz w:val="22"/>
          <w:szCs w:val="22"/>
        </w:rPr>
        <w:t>n</w:t>
      </w:r>
      <w:r w:rsidRPr="00776268">
        <w:rPr>
          <w:sz w:val="22"/>
          <w:szCs w:val="22"/>
        </w:rPr>
        <w:t>e</w:t>
      </w:r>
      <w:r w:rsidRPr="00776268">
        <w:rPr>
          <w:spacing w:val="-2"/>
          <w:sz w:val="22"/>
          <w:szCs w:val="22"/>
        </w:rPr>
        <w:t>g</w:t>
      </w:r>
      <w:r w:rsidRPr="00776268">
        <w:rPr>
          <w:spacing w:val="-1"/>
          <w:sz w:val="22"/>
          <w:szCs w:val="22"/>
        </w:rPr>
        <w:t>o</w:t>
      </w:r>
      <w:r w:rsidRPr="00776268">
        <w:rPr>
          <w:sz w:val="22"/>
          <w:szCs w:val="22"/>
        </w:rPr>
        <w:t>tia</w:t>
      </w:r>
      <w:r w:rsidRPr="00776268">
        <w:rPr>
          <w:spacing w:val="-1"/>
          <w:sz w:val="22"/>
          <w:szCs w:val="22"/>
        </w:rPr>
        <w:t>b</w:t>
      </w:r>
      <w:r w:rsidRPr="00776268">
        <w:rPr>
          <w:sz w:val="22"/>
          <w:szCs w:val="22"/>
        </w:rPr>
        <w:t xml:space="preserve">le </w:t>
      </w:r>
      <w:r w:rsidRPr="00776268">
        <w:rPr>
          <w:spacing w:val="2"/>
          <w:sz w:val="22"/>
          <w:szCs w:val="22"/>
        </w:rPr>
        <w:t>a</w:t>
      </w:r>
      <w:r w:rsidRPr="00776268">
        <w:rPr>
          <w:spacing w:val="-1"/>
          <w:sz w:val="22"/>
          <w:szCs w:val="22"/>
        </w:rPr>
        <w:t>n</w:t>
      </w:r>
      <w:r w:rsidRPr="00776268">
        <w:rPr>
          <w:sz w:val="22"/>
          <w:szCs w:val="22"/>
        </w:rPr>
        <w:t>d</w:t>
      </w:r>
      <w:r w:rsidRPr="00776268">
        <w:rPr>
          <w:spacing w:val="-3"/>
          <w:sz w:val="22"/>
          <w:szCs w:val="22"/>
        </w:rPr>
        <w:t xml:space="preserve"> </w:t>
      </w:r>
      <w:r w:rsidRPr="00776268">
        <w:rPr>
          <w:spacing w:val="1"/>
          <w:sz w:val="22"/>
          <w:szCs w:val="22"/>
        </w:rPr>
        <w:t>m</w:t>
      </w:r>
      <w:r w:rsidRPr="00776268">
        <w:rPr>
          <w:sz w:val="22"/>
          <w:szCs w:val="22"/>
        </w:rPr>
        <w:t>ay</w:t>
      </w:r>
      <w:r w:rsidRPr="00776268">
        <w:rPr>
          <w:spacing w:val="1"/>
          <w:sz w:val="22"/>
          <w:szCs w:val="22"/>
        </w:rPr>
        <w:t xml:space="preserve"> </w:t>
      </w:r>
      <w:r w:rsidRPr="00776268">
        <w:rPr>
          <w:spacing w:val="-3"/>
          <w:sz w:val="22"/>
          <w:szCs w:val="22"/>
        </w:rPr>
        <w:t>n</w:t>
      </w:r>
      <w:r w:rsidRPr="00776268">
        <w:rPr>
          <w:spacing w:val="1"/>
          <w:sz w:val="22"/>
          <w:szCs w:val="22"/>
        </w:rPr>
        <w:t>o</w:t>
      </w:r>
      <w:r w:rsidRPr="00776268">
        <w:rPr>
          <w:sz w:val="22"/>
          <w:szCs w:val="22"/>
        </w:rPr>
        <w:t>t</w:t>
      </w:r>
      <w:r w:rsidRPr="00776268">
        <w:rPr>
          <w:spacing w:val="-2"/>
          <w:sz w:val="22"/>
          <w:szCs w:val="22"/>
        </w:rPr>
        <w:t xml:space="preserve"> </w:t>
      </w:r>
      <w:r w:rsidRPr="00776268">
        <w:rPr>
          <w:sz w:val="22"/>
          <w:szCs w:val="22"/>
        </w:rPr>
        <w:t>be</w:t>
      </w:r>
      <w:r w:rsidRPr="00776268">
        <w:rPr>
          <w:spacing w:val="1"/>
          <w:sz w:val="22"/>
          <w:szCs w:val="22"/>
        </w:rPr>
        <w:t xml:space="preserve"> </w:t>
      </w:r>
      <w:r w:rsidRPr="00776268">
        <w:rPr>
          <w:spacing w:val="-2"/>
          <w:sz w:val="22"/>
          <w:szCs w:val="22"/>
        </w:rPr>
        <w:t>c</w:t>
      </w:r>
      <w:r w:rsidRPr="00776268">
        <w:rPr>
          <w:spacing w:val="-1"/>
          <w:sz w:val="22"/>
          <w:szCs w:val="22"/>
        </w:rPr>
        <w:t>ompu</w:t>
      </w:r>
      <w:r w:rsidRPr="00776268">
        <w:rPr>
          <w:sz w:val="22"/>
          <w:szCs w:val="22"/>
        </w:rPr>
        <w:t>t</w:t>
      </w:r>
      <w:r w:rsidRPr="00776268">
        <w:rPr>
          <w:spacing w:val="1"/>
          <w:sz w:val="22"/>
          <w:szCs w:val="22"/>
        </w:rPr>
        <w:t>e</w:t>
      </w:r>
      <w:r w:rsidRPr="00776268">
        <w:rPr>
          <w:sz w:val="22"/>
          <w:szCs w:val="22"/>
        </w:rPr>
        <w:t>d</w:t>
      </w:r>
      <w:r w:rsidRPr="00776268">
        <w:rPr>
          <w:spacing w:val="-1"/>
          <w:sz w:val="22"/>
          <w:szCs w:val="22"/>
        </w:rPr>
        <w:t xml:space="preserve"> </w:t>
      </w:r>
      <w:r w:rsidRPr="00776268">
        <w:rPr>
          <w:spacing w:val="1"/>
          <w:sz w:val="22"/>
          <w:szCs w:val="22"/>
        </w:rPr>
        <w:t>o</w:t>
      </w:r>
      <w:r w:rsidRPr="00776268">
        <w:rPr>
          <w:sz w:val="22"/>
          <w:szCs w:val="22"/>
        </w:rPr>
        <w:t>n</w:t>
      </w:r>
      <w:r w:rsidRPr="00776268">
        <w:rPr>
          <w:spacing w:val="-1"/>
          <w:sz w:val="22"/>
          <w:szCs w:val="22"/>
        </w:rPr>
        <w:t xml:space="preserve"> </w:t>
      </w:r>
      <w:r>
        <w:rPr>
          <w:sz w:val="22"/>
          <w:szCs w:val="22"/>
        </w:rPr>
        <w:t>Customer</w:t>
      </w:r>
      <w:r w:rsidRPr="00776268">
        <w:rPr>
          <w:spacing w:val="-2"/>
          <w:sz w:val="22"/>
          <w:szCs w:val="22"/>
        </w:rPr>
        <w:t xml:space="preserve"> </w:t>
      </w:r>
      <w:r w:rsidRPr="00776268">
        <w:rPr>
          <w:spacing w:val="1"/>
          <w:sz w:val="22"/>
          <w:szCs w:val="22"/>
        </w:rPr>
        <w:t>P</w:t>
      </w:r>
      <w:r w:rsidRPr="00776268">
        <w:rPr>
          <w:sz w:val="22"/>
          <w:szCs w:val="22"/>
        </w:rPr>
        <w:t>ass</w:t>
      </w:r>
      <w:r w:rsidRPr="00776268">
        <w:rPr>
          <w:spacing w:val="-2"/>
          <w:sz w:val="22"/>
          <w:szCs w:val="22"/>
        </w:rPr>
        <w:t xml:space="preserve"> </w:t>
      </w:r>
      <w:r w:rsidRPr="00776268">
        <w:rPr>
          <w:sz w:val="22"/>
          <w:szCs w:val="22"/>
        </w:rPr>
        <w:t>Thro</w:t>
      </w:r>
      <w:r w:rsidRPr="00776268">
        <w:rPr>
          <w:spacing w:val="-3"/>
          <w:sz w:val="22"/>
          <w:szCs w:val="22"/>
        </w:rPr>
        <w:t>u</w:t>
      </w:r>
      <w:r w:rsidRPr="00776268">
        <w:rPr>
          <w:spacing w:val="-1"/>
          <w:sz w:val="22"/>
          <w:szCs w:val="22"/>
        </w:rPr>
        <w:t>g</w:t>
      </w:r>
      <w:r w:rsidRPr="00776268">
        <w:rPr>
          <w:sz w:val="22"/>
          <w:szCs w:val="22"/>
        </w:rPr>
        <w:t>h</w:t>
      </w:r>
      <w:r w:rsidRPr="00776268">
        <w:rPr>
          <w:spacing w:val="-1"/>
          <w:sz w:val="22"/>
          <w:szCs w:val="22"/>
        </w:rPr>
        <w:t xml:space="preserve"> </w:t>
      </w:r>
      <w:r w:rsidRPr="00776268">
        <w:rPr>
          <w:spacing w:val="1"/>
          <w:sz w:val="22"/>
          <w:szCs w:val="22"/>
        </w:rPr>
        <w:t>e</w:t>
      </w:r>
      <w:r w:rsidRPr="00776268">
        <w:rPr>
          <w:sz w:val="22"/>
          <w:szCs w:val="22"/>
        </w:rPr>
        <w:t>xpen</w:t>
      </w:r>
      <w:r w:rsidRPr="00776268">
        <w:rPr>
          <w:spacing w:val="-2"/>
          <w:sz w:val="22"/>
          <w:szCs w:val="22"/>
        </w:rPr>
        <w:t>d</w:t>
      </w:r>
      <w:r w:rsidRPr="00776268">
        <w:rPr>
          <w:sz w:val="22"/>
          <w:szCs w:val="22"/>
        </w:rPr>
        <w:t>it</w:t>
      </w:r>
      <w:r w:rsidRPr="00776268">
        <w:rPr>
          <w:spacing w:val="-1"/>
          <w:sz w:val="22"/>
          <w:szCs w:val="22"/>
        </w:rPr>
        <w:t>u</w:t>
      </w:r>
      <w:r w:rsidRPr="00776268">
        <w:rPr>
          <w:sz w:val="22"/>
          <w:szCs w:val="22"/>
        </w:rPr>
        <w:t>res.</w:t>
      </w:r>
    </w:p>
    <w:p w14:paraId="002AC1C0" w14:textId="77777777" w:rsidR="00D307A3" w:rsidRPr="00D307A3" w:rsidRDefault="00D307A3" w:rsidP="00D307A3">
      <w:pPr>
        <w:spacing w:after="0" w:line="276" w:lineRule="auto"/>
        <w:ind w:left="360" w:right="-720" w:hanging="360"/>
        <w:rPr>
          <w:rFonts w:asciiTheme="majorHAnsi" w:hAnsiTheme="majorHAnsi" w:cstheme="majorHAnsi"/>
          <w:bCs/>
          <w:kern w:val="0"/>
          <w14:ligatures w14:val="none"/>
        </w:rPr>
      </w:pPr>
      <w:r w:rsidRPr="00D307A3">
        <w:rPr>
          <w:rFonts w:asciiTheme="majorHAnsi" w:hAnsiTheme="majorHAnsi" w:cstheme="majorHAnsi"/>
          <w:b/>
          <w:bCs/>
          <w:kern w:val="0"/>
          <w:u w:val="single"/>
          <w14:ligatures w14:val="none"/>
        </w:rPr>
        <w:t xml:space="preserve">Quality Assurance: </w:t>
      </w:r>
      <w:r w:rsidRPr="00D307A3">
        <w:rPr>
          <w:rFonts w:asciiTheme="majorHAnsi" w:hAnsiTheme="majorHAnsi" w:cstheme="majorHAnsi"/>
          <w:bCs/>
          <w:kern w:val="0"/>
          <w14:ligatures w14:val="none"/>
        </w:rPr>
        <w:t>The proposer should budget funds for traditional monitoring reviews as well as building in on-going, real-time review of staff output and procedures into the staffing plan, perhaps at the supervisory or lead level, to ensure that errors are minimized and that when errors do occur, they are found quickly and corrected before any formal Quality Assurance reviews occur at the Board, State, or Federal levels. Any external reviews deemed necessary at the Subrecipient level should also be budgeted.</w:t>
      </w:r>
    </w:p>
    <w:p w14:paraId="0357A046" w14:textId="77777777" w:rsidR="00D307A3" w:rsidRPr="00D307A3" w:rsidRDefault="00D307A3" w:rsidP="00D307A3">
      <w:pPr>
        <w:spacing w:after="0" w:line="276" w:lineRule="auto"/>
        <w:ind w:left="360" w:right="-72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t>Technology:</w:t>
      </w:r>
      <w:r w:rsidRPr="00D307A3">
        <w:rPr>
          <w:rFonts w:asciiTheme="majorHAnsi" w:hAnsiTheme="majorHAnsi" w:cstheme="majorHAnsi"/>
          <w:b/>
          <w:kern w:val="0"/>
          <w14:ligatures w14:val="none"/>
        </w:rPr>
        <w:t xml:space="preserve">  </w:t>
      </w:r>
      <w:r w:rsidRPr="00D307A3">
        <w:rPr>
          <w:rFonts w:asciiTheme="majorHAnsi" w:hAnsiTheme="majorHAnsi" w:cstheme="majorHAnsi"/>
          <w:kern w:val="0"/>
          <w14:ligatures w14:val="none"/>
        </w:rPr>
        <w:t>The Board employs an Information Systems and Technology Manager, who is responsible for oversight and maintenance of local and wide-area networks as well as administration of the approved Technology Plan.  The Board will make necessary technology purchases, including licensing, software upgrades, contract and website maintenance and replacement parts. Technology-related expenses are included in the Board’s budget and the Board provides all required technology support.  The proposer should not budget funds related to required technology except for cell phones for staff, if the proposer desires to provide these. Workforce center staff currently have Internet and e-mail access through the Concho Valley Workforce Development Board. The Subrecipient shall designate staff to address simple user-related issues, such as password resets, and equipment use training for Subrecipient staff as well as maintenance of certain sections of the website.</w:t>
      </w:r>
    </w:p>
    <w:p w14:paraId="53AC4669" w14:textId="77777777" w:rsidR="00D307A3" w:rsidRPr="00D307A3" w:rsidRDefault="00D307A3" w:rsidP="00D307A3">
      <w:pPr>
        <w:spacing w:after="0" w:line="276" w:lineRule="auto"/>
        <w:ind w:left="360" w:right="-72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t>Community Awareness:</w:t>
      </w:r>
      <w:r w:rsidRPr="00D307A3">
        <w:rPr>
          <w:rFonts w:asciiTheme="majorHAnsi" w:hAnsiTheme="majorHAnsi" w:cstheme="majorHAnsi"/>
          <w:b/>
          <w:kern w:val="0"/>
          <w14:ligatures w14:val="none"/>
        </w:rPr>
        <w:t xml:space="preserve">  </w:t>
      </w:r>
      <w:r w:rsidRPr="00D307A3">
        <w:rPr>
          <w:rFonts w:asciiTheme="majorHAnsi" w:hAnsiTheme="majorHAnsi" w:cstheme="majorHAnsi"/>
          <w:kern w:val="0"/>
          <w14:ligatures w14:val="none"/>
        </w:rPr>
        <w:t>The Board has primary responsibility for oversight of all community awareness</w:t>
      </w:r>
      <w:r w:rsidRPr="00D307A3">
        <w:rPr>
          <w:rFonts w:asciiTheme="majorHAnsi" w:hAnsiTheme="majorHAnsi" w:cstheme="majorHAnsi"/>
          <w:b/>
          <w:kern w:val="0"/>
          <w14:ligatures w14:val="none"/>
        </w:rPr>
        <w:t xml:space="preserve"> </w:t>
      </w:r>
      <w:r w:rsidRPr="00D307A3">
        <w:rPr>
          <w:rFonts w:asciiTheme="majorHAnsi" w:hAnsiTheme="majorHAnsi" w:cstheme="majorHAnsi"/>
          <w:kern w:val="0"/>
          <w14:ligatures w14:val="none"/>
        </w:rPr>
        <w:t>activities, including release of information about the workforce center system to the public, outreach campaigns, system publications (including brochures), advertising specialties and related activities that increase awareness of the workforce services and system.  The proposer should limit the costs in the budget costs for marketing or printing, advertising limited to legal notices and/or for job ads for Subrecipient staff positions.</w:t>
      </w:r>
    </w:p>
    <w:p w14:paraId="13160173" w14:textId="77777777" w:rsidR="00D307A3" w:rsidRPr="00D307A3" w:rsidRDefault="00D307A3" w:rsidP="00D307A3">
      <w:pPr>
        <w:spacing w:after="0" w:line="276" w:lineRule="auto"/>
        <w:ind w:left="360" w:right="-72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t>Equipment/Furniture:</w:t>
      </w:r>
      <w:r w:rsidRPr="00D307A3">
        <w:rPr>
          <w:rFonts w:asciiTheme="majorHAnsi" w:hAnsiTheme="majorHAnsi" w:cstheme="majorHAnsi"/>
          <w:b/>
          <w:kern w:val="0"/>
          <w14:ligatures w14:val="none"/>
        </w:rPr>
        <w:t xml:space="preserve">  </w:t>
      </w:r>
      <w:r w:rsidRPr="00D307A3">
        <w:rPr>
          <w:rFonts w:asciiTheme="majorHAnsi" w:hAnsiTheme="majorHAnsi" w:cstheme="majorHAnsi"/>
          <w:kern w:val="0"/>
          <w14:ligatures w14:val="none"/>
        </w:rPr>
        <w:t>Equipment and furniture used by the current workforce center operator will be available to the selected proposer.  The Board believes that adequate and acceptable equipment and furniture is available to provide required workforce services.  If after selection, the awardee and Board identify the need for additional equipment and/or furniture, the awardee may request the Board to complete such purchases.</w:t>
      </w:r>
    </w:p>
    <w:p w14:paraId="4E424CA1" w14:textId="77777777" w:rsidR="00D307A3" w:rsidRPr="00D307A3" w:rsidRDefault="00D307A3" w:rsidP="00D307A3">
      <w:pPr>
        <w:spacing w:after="0" w:line="276" w:lineRule="auto"/>
        <w:ind w:left="360" w:right="-72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t>Center Locations:</w:t>
      </w:r>
      <w:r w:rsidRPr="00D307A3">
        <w:rPr>
          <w:rFonts w:asciiTheme="majorHAnsi" w:hAnsiTheme="majorHAnsi" w:cstheme="majorHAnsi"/>
          <w:b/>
          <w:kern w:val="0"/>
          <w14:ligatures w14:val="none"/>
        </w:rPr>
        <w:t xml:space="preserve">  </w:t>
      </w:r>
      <w:r w:rsidRPr="00D307A3">
        <w:rPr>
          <w:rFonts w:asciiTheme="majorHAnsi" w:hAnsiTheme="majorHAnsi" w:cstheme="majorHAnsi"/>
          <w:kern w:val="0"/>
          <w14:ligatures w14:val="none"/>
        </w:rPr>
        <w:t xml:space="preserve">Workforce Center staff are located in San Angelo.  The Board is responsible for the lease.  The Board strongly encourages the Subrecipient to seek no-cost space with other partners, such as colleges, libraries, CBOs, etc. as needed. </w:t>
      </w:r>
    </w:p>
    <w:p w14:paraId="60828AA3" w14:textId="49376755" w:rsidR="00D307A3" w:rsidRDefault="00D307A3" w:rsidP="00D307A3">
      <w:pPr>
        <w:autoSpaceDE w:val="0"/>
        <w:autoSpaceDN w:val="0"/>
        <w:adjustRightInd w:val="0"/>
        <w:spacing w:after="0" w:line="276" w:lineRule="auto"/>
        <w:ind w:left="360" w:right="13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lastRenderedPageBreak/>
        <w:t xml:space="preserve">Customer Numbers Data:   </w:t>
      </w:r>
      <w:r w:rsidRPr="00D307A3">
        <w:rPr>
          <w:rFonts w:asciiTheme="majorHAnsi" w:hAnsiTheme="majorHAnsi" w:cstheme="majorHAnsi"/>
          <w:kern w:val="0"/>
          <w14:ligatures w14:val="none"/>
        </w:rPr>
        <w:t>Information from January 202</w:t>
      </w:r>
      <w:r w:rsidRPr="00D319FF">
        <w:rPr>
          <w:rFonts w:asciiTheme="majorHAnsi" w:hAnsiTheme="majorHAnsi" w:cstheme="majorHAnsi"/>
          <w:kern w:val="0"/>
          <w14:ligatures w14:val="none"/>
        </w:rPr>
        <w:t>5-December 2025 based on TWC VOS Greeter Reports</w:t>
      </w:r>
      <w:r w:rsidR="00D319FF">
        <w:rPr>
          <w:rFonts w:asciiTheme="majorHAnsi" w:hAnsiTheme="majorHAnsi" w:cstheme="majorHAnsi"/>
          <w:kern w:val="0"/>
          <w14:ligatures w14:val="none"/>
        </w:rPr>
        <w:t xml:space="preserve"> (months May, November, &amp; December excluded; may include duplicate job seekers)</w:t>
      </w:r>
      <w:r w:rsidRPr="00D307A3">
        <w:rPr>
          <w:rFonts w:asciiTheme="majorHAnsi" w:hAnsiTheme="majorHAnsi" w:cstheme="majorHAnsi"/>
          <w:kern w:val="0"/>
          <w14:ligatures w14:val="none"/>
        </w:rPr>
        <w:t xml:space="preserve">: </w:t>
      </w:r>
    </w:p>
    <w:p w14:paraId="7A9674C8" w14:textId="2EFE9B9E" w:rsidR="00D319FF" w:rsidRPr="00D307A3" w:rsidRDefault="00D319FF" w:rsidP="00D319FF">
      <w:pPr>
        <w:autoSpaceDE w:val="0"/>
        <w:autoSpaceDN w:val="0"/>
        <w:adjustRightInd w:val="0"/>
        <w:spacing w:after="0" w:line="276" w:lineRule="auto"/>
        <w:ind w:left="360" w:right="130"/>
        <w:rPr>
          <w:rFonts w:asciiTheme="majorHAnsi" w:hAnsiTheme="majorHAnsi" w:cstheme="majorHAnsi"/>
          <w:b/>
          <w:bCs/>
          <w:kern w:val="0"/>
          <w:u w:val="single"/>
          <w14:ligatures w14:val="none"/>
        </w:rPr>
      </w:pPr>
      <w:r>
        <w:rPr>
          <w:rFonts w:asciiTheme="majorHAnsi" w:hAnsiTheme="majorHAnsi" w:cstheme="majorHAnsi"/>
          <w:color w:val="000000"/>
          <w:kern w:val="0"/>
          <w14:ligatures w14:val="none"/>
        </w:rPr>
        <w:t>4</w:t>
      </w:r>
      <w:r w:rsidRPr="00D307A3">
        <w:rPr>
          <w:rFonts w:asciiTheme="majorHAnsi" w:hAnsiTheme="majorHAnsi" w:cstheme="majorHAnsi"/>
          <w:color w:val="000000"/>
          <w:kern w:val="0"/>
          <w14:ligatures w14:val="none"/>
        </w:rPr>
        <w:t>,</w:t>
      </w:r>
      <w:r>
        <w:rPr>
          <w:rFonts w:asciiTheme="majorHAnsi" w:hAnsiTheme="majorHAnsi" w:cstheme="majorHAnsi"/>
          <w:color w:val="000000"/>
          <w:kern w:val="0"/>
          <w14:ligatures w14:val="none"/>
        </w:rPr>
        <w:t>017</w:t>
      </w:r>
      <w:r w:rsidRPr="00D307A3">
        <w:rPr>
          <w:rFonts w:asciiTheme="majorHAnsi" w:hAnsiTheme="majorHAnsi" w:cstheme="majorHAnsi"/>
          <w:color w:val="000000"/>
          <w:kern w:val="0"/>
          <w14:ligatures w14:val="none"/>
        </w:rPr>
        <w:t xml:space="preserve"> total Job Seekers Served</w:t>
      </w:r>
      <w:r w:rsidRPr="00D307A3">
        <w:rPr>
          <w:rFonts w:asciiTheme="majorHAnsi" w:hAnsiTheme="majorHAnsi" w:cstheme="majorHAnsi"/>
          <w:b/>
          <w:bCs/>
          <w:color w:val="000000"/>
          <w:kern w:val="0"/>
          <w14:ligatures w14:val="none"/>
        </w:rPr>
        <w:t xml:space="preserve"> </w:t>
      </w:r>
      <w:r>
        <w:rPr>
          <w:rFonts w:asciiTheme="majorHAnsi" w:hAnsiTheme="majorHAnsi" w:cstheme="majorHAnsi"/>
          <w:color w:val="000000"/>
          <w:kern w:val="0"/>
          <w14:ligatures w14:val="none"/>
        </w:rPr>
        <w:t>(approximate)</w:t>
      </w:r>
    </w:p>
    <w:p w14:paraId="60546E12" w14:textId="32E4FB83" w:rsidR="00D319FF" w:rsidRDefault="00D319FF" w:rsidP="00D319FF">
      <w:pPr>
        <w:autoSpaceDE w:val="0"/>
        <w:autoSpaceDN w:val="0"/>
        <w:adjustRightInd w:val="0"/>
        <w:spacing w:after="0" w:line="276" w:lineRule="auto"/>
        <w:ind w:right="130" w:firstLine="360"/>
        <w:rPr>
          <w:rFonts w:asciiTheme="majorHAnsi" w:hAnsiTheme="majorHAnsi" w:cstheme="majorHAnsi"/>
          <w:color w:val="000000"/>
          <w:kern w:val="0"/>
          <w14:ligatures w14:val="none"/>
        </w:rPr>
      </w:pPr>
      <w:r w:rsidRPr="00D319FF">
        <w:rPr>
          <w:rFonts w:asciiTheme="majorHAnsi" w:hAnsiTheme="majorHAnsi" w:cstheme="majorHAnsi"/>
          <w:kern w:val="0"/>
          <w14:ligatures w14:val="none"/>
        </w:rPr>
        <w:t xml:space="preserve">Total Employers Served </w:t>
      </w:r>
      <w:r w:rsidRPr="00D307A3">
        <w:rPr>
          <w:rFonts w:asciiTheme="majorHAnsi" w:hAnsiTheme="majorHAnsi" w:cstheme="majorHAnsi"/>
          <w:kern w:val="0"/>
          <w14:ligatures w14:val="none"/>
        </w:rPr>
        <w:t xml:space="preserve"> </w:t>
      </w:r>
      <w:r>
        <w:rPr>
          <w:rFonts w:asciiTheme="majorHAnsi" w:hAnsiTheme="majorHAnsi" w:cstheme="majorHAnsi"/>
          <w:kern w:val="0"/>
          <w14:ligatures w14:val="none"/>
        </w:rPr>
        <w:t>BCY 2025:</w:t>
      </w:r>
    </w:p>
    <w:p w14:paraId="0B0D7A5E" w14:textId="635AF139" w:rsidR="00D307A3" w:rsidRPr="00D307A3" w:rsidRDefault="00D319FF" w:rsidP="00D319FF">
      <w:pPr>
        <w:autoSpaceDE w:val="0"/>
        <w:autoSpaceDN w:val="0"/>
        <w:adjustRightInd w:val="0"/>
        <w:spacing w:after="0" w:line="276" w:lineRule="auto"/>
        <w:ind w:right="130" w:firstLine="360"/>
        <w:rPr>
          <w:rFonts w:asciiTheme="majorHAnsi" w:hAnsiTheme="majorHAnsi" w:cstheme="majorHAnsi"/>
          <w:color w:val="000000"/>
          <w:kern w:val="0"/>
          <w14:ligatures w14:val="none"/>
        </w:rPr>
      </w:pPr>
      <w:r>
        <w:rPr>
          <w:rFonts w:asciiTheme="majorHAnsi" w:hAnsiTheme="majorHAnsi" w:cstheme="majorHAnsi"/>
          <w:color w:val="000000"/>
          <w:kern w:val="0"/>
          <w14:ligatures w14:val="none"/>
        </w:rPr>
        <w:t>8</w:t>
      </w:r>
      <w:r w:rsidR="00D307A3" w:rsidRPr="00D307A3">
        <w:rPr>
          <w:rFonts w:asciiTheme="majorHAnsi" w:hAnsiTheme="majorHAnsi" w:cstheme="majorHAnsi"/>
          <w:color w:val="000000"/>
          <w:kern w:val="0"/>
          <w14:ligatures w14:val="none"/>
        </w:rPr>
        <w:t xml:space="preserve">35 Total Employers Served </w:t>
      </w:r>
    </w:p>
    <w:p w14:paraId="12E6EB9D" w14:textId="77777777" w:rsidR="00D307A3" w:rsidRDefault="00D307A3" w:rsidP="00D307A3">
      <w:pPr>
        <w:spacing w:after="0" w:line="276" w:lineRule="auto"/>
        <w:ind w:left="360" w:right="-720" w:hanging="360"/>
        <w:rPr>
          <w:rFonts w:asciiTheme="majorHAnsi" w:hAnsiTheme="majorHAnsi" w:cstheme="majorHAnsi"/>
          <w:kern w:val="0"/>
          <w14:ligatures w14:val="none"/>
        </w:rPr>
      </w:pPr>
      <w:r w:rsidRPr="00D307A3">
        <w:rPr>
          <w:rFonts w:asciiTheme="majorHAnsi" w:hAnsiTheme="majorHAnsi" w:cstheme="majorHAnsi"/>
          <w:b/>
          <w:kern w:val="0"/>
          <w:u w:val="single"/>
          <w14:ligatures w14:val="none"/>
        </w:rPr>
        <w:t>Board Covered Costs (Not to be Budgeted by Proposer):</w:t>
      </w:r>
      <w:r w:rsidRPr="00D307A3">
        <w:rPr>
          <w:rFonts w:asciiTheme="majorHAnsi" w:hAnsiTheme="majorHAnsi" w:cstheme="majorHAnsi"/>
          <w:kern w:val="0"/>
          <w14:ligatures w14:val="none"/>
        </w:rPr>
        <w:t xml:space="preserve">  The Concho Valley Workforce Development Board retains funds at the Board level to cover the majority of costs associated with the operation of the Workforce Center for the Subrecipient.  Costs covered by the Board include rent/lease costs for all facilities, copy machine rental fees, per-copy costs, utility costs (including electricity, gas, and water), janitorial and security costs, telephone costs (including local, long distance, and data/internet fees but excluding cell phone/MiFi costs), board required technology costs, and pest control.   </w:t>
      </w:r>
    </w:p>
    <w:p w14:paraId="6518131F" w14:textId="30F8C0C9" w:rsidR="00B66809" w:rsidRPr="00D307A3" w:rsidRDefault="00885108" w:rsidP="00885108">
      <w:pPr>
        <w:autoSpaceDE w:val="0"/>
        <w:autoSpaceDN w:val="0"/>
        <w:adjustRightInd w:val="0"/>
        <w:spacing w:line="240" w:lineRule="auto"/>
        <w:jc w:val="both"/>
        <w:rPr>
          <w:rFonts w:asciiTheme="majorHAnsi" w:hAnsiTheme="majorHAnsi" w:cstheme="majorHAnsi"/>
          <w:kern w:val="0"/>
          <w14:ligatures w14:val="none"/>
        </w:rPr>
      </w:pPr>
      <w:r>
        <w:rPr>
          <w:b/>
          <w:color w:val="000000" w:themeColor="text1"/>
          <w:u w:val="single"/>
        </w:rPr>
        <w:t>Customer</w:t>
      </w:r>
      <w:r w:rsidRPr="008B7ADC">
        <w:rPr>
          <w:b/>
          <w:color w:val="000000" w:themeColor="text1"/>
          <w:u w:val="single"/>
        </w:rPr>
        <w:t xml:space="preserve"> Pass-Through Funds</w:t>
      </w:r>
      <w:r>
        <w:rPr>
          <w:color w:val="000000" w:themeColor="text1"/>
          <w:sz w:val="22"/>
          <w:szCs w:val="22"/>
        </w:rPr>
        <w:t xml:space="preserve">: </w:t>
      </w:r>
      <w:r w:rsidRPr="008B7ADC">
        <w:rPr>
          <w:color w:val="000000" w:themeColor="text1"/>
          <w:sz w:val="22"/>
          <w:szCs w:val="22"/>
        </w:rPr>
        <w:t xml:space="preserve">Includes </w:t>
      </w:r>
      <w:r>
        <w:rPr>
          <w:color w:val="000000" w:themeColor="text1"/>
          <w:sz w:val="22"/>
          <w:szCs w:val="22"/>
        </w:rPr>
        <w:t xml:space="preserve">customer </w:t>
      </w:r>
      <w:r w:rsidRPr="008B7ADC">
        <w:rPr>
          <w:color w:val="000000" w:themeColor="text1"/>
          <w:sz w:val="22"/>
          <w:szCs w:val="22"/>
        </w:rPr>
        <w:t>costs associated with Individual Training Accounts (ITA’s), short-term prevocational skills, wage subsidies (subsidized work experience</w:t>
      </w:r>
      <w:r>
        <w:rPr>
          <w:color w:val="000000" w:themeColor="text1"/>
          <w:sz w:val="22"/>
          <w:szCs w:val="22"/>
        </w:rPr>
        <w:t xml:space="preserve"> wages/fringe</w:t>
      </w:r>
      <w:r w:rsidRPr="008B7ADC">
        <w:rPr>
          <w:color w:val="000000" w:themeColor="text1"/>
          <w:sz w:val="22"/>
          <w:szCs w:val="22"/>
        </w:rPr>
        <w:t xml:space="preserve">), </w:t>
      </w:r>
      <w:r>
        <w:rPr>
          <w:color w:val="000000" w:themeColor="text1"/>
          <w:sz w:val="22"/>
          <w:szCs w:val="22"/>
        </w:rPr>
        <w:t xml:space="preserve">incentives, </w:t>
      </w:r>
      <w:r w:rsidRPr="008B7ADC">
        <w:rPr>
          <w:color w:val="000000" w:themeColor="text1"/>
          <w:sz w:val="22"/>
          <w:szCs w:val="22"/>
        </w:rPr>
        <w:t>support services (e</w:t>
      </w:r>
      <w:r>
        <w:rPr>
          <w:color w:val="000000" w:themeColor="text1"/>
          <w:sz w:val="22"/>
          <w:szCs w:val="22"/>
        </w:rPr>
        <w:t>.</w:t>
      </w:r>
      <w:r w:rsidRPr="008B7ADC">
        <w:rPr>
          <w:color w:val="000000" w:themeColor="text1"/>
          <w:sz w:val="22"/>
          <w:szCs w:val="22"/>
        </w:rPr>
        <w:t xml:space="preserve">g. </w:t>
      </w:r>
      <w:r>
        <w:rPr>
          <w:color w:val="000000" w:themeColor="text1"/>
          <w:sz w:val="22"/>
          <w:szCs w:val="22"/>
        </w:rPr>
        <w:t>t</w:t>
      </w:r>
      <w:r w:rsidRPr="008B7ADC">
        <w:rPr>
          <w:color w:val="000000" w:themeColor="text1"/>
          <w:sz w:val="22"/>
          <w:szCs w:val="22"/>
        </w:rPr>
        <w:t>ransportation, emergency assistance, and other support services</w:t>
      </w:r>
      <w:r>
        <w:rPr>
          <w:color w:val="000000" w:themeColor="text1"/>
          <w:sz w:val="22"/>
          <w:szCs w:val="22"/>
        </w:rPr>
        <w:t>)</w:t>
      </w:r>
      <w:r w:rsidRPr="008B7ADC">
        <w:rPr>
          <w:color w:val="000000" w:themeColor="text1"/>
          <w:sz w:val="22"/>
          <w:szCs w:val="22"/>
        </w:rPr>
        <w:t xml:space="preserve">, direct care, or other allowable expenses for </w:t>
      </w:r>
      <w:r>
        <w:rPr>
          <w:color w:val="000000" w:themeColor="text1"/>
          <w:sz w:val="22"/>
          <w:szCs w:val="22"/>
        </w:rPr>
        <w:t>customers</w:t>
      </w:r>
      <w:r w:rsidRPr="008B7ADC">
        <w:rPr>
          <w:color w:val="000000" w:themeColor="text1"/>
          <w:sz w:val="22"/>
          <w:szCs w:val="22"/>
        </w:rPr>
        <w:t>.</w:t>
      </w:r>
      <w:r w:rsidR="00943222" w:rsidRPr="00943222">
        <w:t xml:space="preserve"> </w:t>
      </w:r>
      <w:r w:rsidR="00943222" w:rsidRPr="00943222">
        <w:rPr>
          <w:color w:val="000000" w:themeColor="text1"/>
          <w:sz w:val="22"/>
          <w:szCs w:val="22"/>
        </w:rPr>
        <w:t xml:space="preserve">The selected Subrecipient will make certain that every effort is taken to ensure that at least 20% of total funding (not including CCS or WIOA Youth Work Experience) is </w:t>
      </w:r>
      <w:r w:rsidR="009A2BF0">
        <w:rPr>
          <w:color w:val="000000" w:themeColor="text1"/>
          <w:sz w:val="22"/>
          <w:szCs w:val="22"/>
        </w:rPr>
        <w:t xml:space="preserve">budgeted for </w:t>
      </w:r>
      <w:r w:rsidR="00943222" w:rsidRPr="00943222">
        <w:rPr>
          <w:color w:val="000000" w:themeColor="text1"/>
          <w:sz w:val="22"/>
          <w:szCs w:val="22"/>
        </w:rPr>
        <w:t>customer training, barring special circumstances.</w:t>
      </w:r>
    </w:p>
    <w:p w14:paraId="3FE997B7" w14:textId="77777777" w:rsidR="00D307A3" w:rsidRPr="00D307A3" w:rsidRDefault="00D307A3" w:rsidP="00D307A3">
      <w:pPr>
        <w:spacing w:after="0" w:line="276" w:lineRule="auto"/>
        <w:ind w:left="2160" w:right="-720" w:hanging="2160"/>
        <w:rPr>
          <w:rFonts w:asciiTheme="majorHAnsi" w:hAnsiTheme="majorHAnsi" w:cstheme="majorHAnsi"/>
          <w:b/>
          <w:kern w:val="0"/>
          <w14:ligatures w14:val="none"/>
        </w:rPr>
        <w:sectPr w:rsidR="00D307A3" w:rsidRPr="00D307A3" w:rsidSect="00D307A3">
          <w:headerReference w:type="default" r:id="rId6"/>
          <w:footerReference w:type="even" r:id="rId7"/>
          <w:footerReference w:type="default" r:id="rId8"/>
          <w:headerReference w:type="first" r:id="rId9"/>
          <w:footerReference w:type="first" r:id="rId10"/>
          <w:pgSz w:w="12240" w:h="15840" w:code="1"/>
          <w:pgMar w:top="270" w:right="1440" w:bottom="1440" w:left="1440" w:header="720" w:footer="401" w:gutter="0"/>
          <w:cols w:space="720"/>
          <w:titlePg/>
          <w:docGrid w:linePitch="360"/>
        </w:sectPr>
      </w:pPr>
      <w:r w:rsidRPr="00D307A3">
        <w:rPr>
          <w:rFonts w:asciiTheme="majorHAnsi" w:hAnsiTheme="majorHAnsi" w:cstheme="majorHAnsi"/>
          <w:kern w:val="0"/>
          <w14:ligatures w14:val="none"/>
        </w:rPr>
        <w:t xml:space="preserve"> </w:t>
      </w:r>
    </w:p>
    <w:p w14:paraId="7F6E0B5D" w14:textId="77777777" w:rsidR="00D307A3" w:rsidRPr="00D307A3" w:rsidRDefault="00D307A3" w:rsidP="00D307A3">
      <w:pPr>
        <w:spacing w:after="0" w:line="276" w:lineRule="auto"/>
        <w:ind w:left="360" w:right="130" w:hanging="360"/>
        <w:jc w:val="center"/>
        <w:rPr>
          <w:rFonts w:asciiTheme="majorHAnsi" w:hAnsiTheme="majorHAnsi" w:cstheme="majorHAnsi"/>
          <w:b/>
          <w:kern w:val="0"/>
          <w14:ligatures w14:val="none"/>
        </w:rPr>
      </w:pPr>
      <w:bookmarkStart w:id="4" w:name="_Appendix_K"/>
      <w:bookmarkStart w:id="5" w:name="_Toc319182463"/>
      <w:bookmarkStart w:id="6" w:name="_Toc319328522"/>
      <w:bookmarkStart w:id="7" w:name="_Toc319665221"/>
      <w:bookmarkStart w:id="8" w:name="_Toc319932951"/>
      <w:bookmarkEnd w:id="4"/>
      <w:bookmarkEnd w:id="5"/>
      <w:bookmarkEnd w:id="6"/>
      <w:bookmarkEnd w:id="7"/>
      <w:bookmarkEnd w:id="8"/>
      <w:r w:rsidRPr="00D307A3">
        <w:rPr>
          <w:rFonts w:asciiTheme="majorHAnsi" w:hAnsiTheme="majorHAnsi" w:cstheme="majorHAnsi"/>
          <w:b/>
          <w:kern w:val="0"/>
          <w14:ligatures w14:val="none"/>
        </w:rPr>
        <w:lastRenderedPageBreak/>
        <w:t xml:space="preserve">Staffing Model – Concho Valley </w:t>
      </w:r>
      <w:hyperlink w:anchor="Appendix_N" w:history="1">
        <w:r w:rsidRPr="00D307A3">
          <w:rPr>
            <w:rFonts w:asciiTheme="majorHAnsi" w:hAnsiTheme="majorHAnsi" w:cstheme="majorHAnsi"/>
            <w:b/>
            <w:color w:val="467886" w:themeColor="hyperlink"/>
            <w:kern w:val="0"/>
            <w:u w:val="single"/>
            <w14:ligatures w14:val="none"/>
          </w:rPr>
          <w:t>See Appendix N</w:t>
        </w:r>
      </w:hyperlink>
    </w:p>
    <w:p w14:paraId="3BB6DE5B" w14:textId="77777777" w:rsidR="00D307A3" w:rsidRPr="00D307A3" w:rsidRDefault="00D307A3" w:rsidP="00D307A3">
      <w:pPr>
        <w:spacing w:after="0" w:line="276" w:lineRule="auto"/>
        <w:ind w:left="360" w:right="130" w:hanging="360"/>
        <w:jc w:val="center"/>
        <w:rPr>
          <w:rFonts w:asciiTheme="majorHAnsi" w:hAnsiTheme="majorHAnsi" w:cstheme="majorHAnsi"/>
          <w:kern w:val="0"/>
          <w14:ligatures w14:val="none"/>
        </w:rPr>
      </w:pPr>
      <w:r w:rsidRPr="00D307A3">
        <w:rPr>
          <w:rFonts w:asciiTheme="majorHAnsi" w:hAnsiTheme="majorHAnsi" w:cstheme="majorHAnsi"/>
          <w:kern w:val="0"/>
          <w14:ligatures w14:val="none"/>
        </w:rPr>
        <w:t>Total Staff: 31 ( includes 1 TWC staff)</w:t>
      </w:r>
    </w:p>
    <w:p w14:paraId="717D0E5D" w14:textId="77777777" w:rsidR="00D307A3" w:rsidRPr="00D307A3" w:rsidRDefault="00D307A3" w:rsidP="00D307A3">
      <w:pPr>
        <w:spacing w:after="0" w:line="276" w:lineRule="auto"/>
        <w:ind w:left="360" w:right="130" w:hanging="360"/>
        <w:jc w:val="center"/>
        <w:rPr>
          <w:rFonts w:asciiTheme="majorHAnsi" w:hAnsiTheme="majorHAnsi" w:cstheme="majorHAnsi"/>
          <w:kern w:val="0"/>
          <w14:ligatures w14:val="none"/>
        </w:rPr>
      </w:pPr>
    </w:p>
    <w:p w14:paraId="659D06A9" w14:textId="77777777" w:rsidR="00D307A3" w:rsidRPr="00D307A3" w:rsidRDefault="00D307A3" w:rsidP="00D307A3">
      <w:pPr>
        <w:spacing w:after="0" w:line="276" w:lineRule="auto"/>
        <w:ind w:left="360" w:right="130" w:hanging="360"/>
        <w:jc w:val="center"/>
        <w:rPr>
          <w:rFonts w:asciiTheme="majorHAnsi" w:hAnsiTheme="majorHAnsi" w:cstheme="majorHAnsi"/>
          <w:kern w:val="0"/>
          <w14:ligatures w14:val="none"/>
        </w:rPr>
      </w:pPr>
      <w:r w:rsidRPr="00D307A3">
        <w:rPr>
          <w:rFonts w:asciiTheme="majorHAnsi" w:hAnsiTheme="majorHAnsi" w:cstheme="majorHAnsi"/>
          <w:kern w:val="0"/>
          <w14:ligatures w14:val="none"/>
        </w:rPr>
        <w:t xml:space="preserve">Note!! The staffing structure provided in Appendix N is the current staffing structure at the time of this RFP release. Some changes may take place before the new Subaward period begins. However, please utilize the amounts in Appendix N as your payroll-related expenditures in your budget for purposes of this proposal. </w:t>
      </w:r>
    </w:p>
    <w:p w14:paraId="54156B6B" w14:textId="77777777" w:rsidR="00D307A3" w:rsidRPr="00D307A3" w:rsidRDefault="00D307A3" w:rsidP="00D307A3">
      <w:pPr>
        <w:spacing w:after="0" w:line="276" w:lineRule="auto"/>
        <w:ind w:left="360" w:right="130" w:hanging="360"/>
        <w:jc w:val="center"/>
        <w:rPr>
          <w:rFonts w:asciiTheme="majorHAnsi" w:hAnsiTheme="majorHAnsi" w:cstheme="majorHAnsi"/>
          <w:kern w:val="0"/>
          <w14:ligatures w14:val="none"/>
        </w:rPr>
      </w:pPr>
    </w:p>
    <w:p w14:paraId="7085C7A3" w14:textId="77777777" w:rsidR="00942B06" w:rsidRDefault="00942B06"/>
    <w:sectPr w:rsidR="00942B06" w:rsidSect="00D307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54DB" w14:textId="77777777" w:rsidR="007A59E8" w:rsidRDefault="007A59E8" w:rsidP="00D307A3">
      <w:pPr>
        <w:spacing w:after="0" w:line="240" w:lineRule="auto"/>
      </w:pPr>
      <w:r>
        <w:separator/>
      </w:r>
    </w:p>
  </w:endnote>
  <w:endnote w:type="continuationSeparator" w:id="0">
    <w:p w14:paraId="053917E4" w14:textId="77777777" w:rsidR="007A59E8" w:rsidRDefault="007A59E8" w:rsidP="00D3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E9C" w14:textId="77777777" w:rsidR="00D307A3" w:rsidRDefault="00D307A3" w:rsidP="00A47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61FDF9B1" w14:textId="77777777" w:rsidR="00D307A3" w:rsidRDefault="00D307A3" w:rsidP="00A77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06AF" w14:textId="77777777" w:rsidR="00D307A3" w:rsidRDefault="00D307A3" w:rsidP="2BB49AEC">
    <w:pPr>
      <w:pStyle w:val="Footer"/>
      <w:jc w:val="right"/>
    </w:pP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p w14:paraId="146213B6" w14:textId="77777777" w:rsidR="00D307A3" w:rsidRDefault="00D307A3" w:rsidP="00A471D8">
    <w:pPr>
      <w:pStyle w:val="Footer"/>
      <w:framePr w:wrap="around" w:vAnchor="text" w:hAnchor="margin" w:xAlign="right" w:y="1"/>
      <w:rPr>
        <w:rStyle w:val="PageNumber"/>
      </w:rPr>
    </w:pPr>
  </w:p>
  <w:p w14:paraId="119AE012" w14:textId="77777777" w:rsidR="00D307A3" w:rsidRDefault="00D307A3" w:rsidP="00A77D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775388"/>
      <w:docPartObj>
        <w:docPartGallery w:val="Page Numbers (Bottom of Page)"/>
        <w:docPartUnique/>
      </w:docPartObj>
    </w:sdtPr>
    <w:sdtEndPr/>
    <w:sdtContent>
      <w:sdt>
        <w:sdtPr>
          <w:id w:val="1728636285"/>
          <w:docPartObj>
            <w:docPartGallery w:val="Page Numbers (Top of Page)"/>
            <w:docPartUnique/>
          </w:docPartObj>
        </w:sdtPr>
        <w:sdtEndPr/>
        <w:sdtContent>
          <w:p w14:paraId="5F4E8681" w14:textId="34CC2CC4" w:rsidR="00D307A3" w:rsidRDefault="00D307A3" w:rsidP="00D307A3">
            <w:pPr>
              <w:pStyle w:val="Footer"/>
              <w:jc w:val="both"/>
            </w:pPr>
            <w:r w:rsidRPr="00CD0641">
              <w:rPr>
                <w:sz w:val="16"/>
                <w:szCs w:val="16"/>
              </w:rPr>
              <w:t>CVWDB RFP- Operation &amp; Management of WFS Center, Programs &amp; Child Care Svc. 3.30.26</w:t>
            </w:r>
            <w:r>
              <w:rPr>
                <w:sz w:val="16"/>
                <w:szCs w:val="16"/>
              </w:rPr>
              <w:t xml:space="preserve"> App. J</w:t>
            </w:r>
          </w:p>
          <w:p w14:paraId="23F3D594" w14:textId="628AE88A" w:rsidR="00D307A3" w:rsidRDefault="00D307A3" w:rsidP="00D307A3">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BD8376D" w14:textId="77777777" w:rsidR="00D307A3" w:rsidRDefault="00D3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6BCB" w14:textId="77777777" w:rsidR="007A59E8" w:rsidRDefault="007A59E8" w:rsidP="00D307A3">
      <w:pPr>
        <w:spacing w:after="0" w:line="240" w:lineRule="auto"/>
      </w:pPr>
      <w:r>
        <w:separator/>
      </w:r>
    </w:p>
  </w:footnote>
  <w:footnote w:type="continuationSeparator" w:id="0">
    <w:p w14:paraId="59E26BA8" w14:textId="77777777" w:rsidR="007A59E8" w:rsidRDefault="007A59E8" w:rsidP="00D3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00D307A3" w14:paraId="1AAEA663" w14:textId="77777777" w:rsidTr="2BB49AEC">
      <w:tc>
        <w:tcPr>
          <w:tcW w:w="2940" w:type="dxa"/>
        </w:tcPr>
        <w:p w14:paraId="54C6C289" w14:textId="77777777" w:rsidR="00D307A3" w:rsidRDefault="00D307A3" w:rsidP="2BB49AEC">
          <w:pPr>
            <w:ind w:left="-115"/>
          </w:pPr>
        </w:p>
      </w:tc>
      <w:tc>
        <w:tcPr>
          <w:tcW w:w="2940" w:type="dxa"/>
        </w:tcPr>
        <w:p w14:paraId="6821D35D" w14:textId="77777777" w:rsidR="00D307A3" w:rsidRDefault="00D307A3" w:rsidP="2BB49AEC">
          <w:pPr>
            <w:jc w:val="center"/>
          </w:pPr>
        </w:p>
      </w:tc>
      <w:tc>
        <w:tcPr>
          <w:tcW w:w="2940" w:type="dxa"/>
        </w:tcPr>
        <w:p w14:paraId="74B68F91" w14:textId="77777777" w:rsidR="00D307A3" w:rsidRDefault="00D307A3" w:rsidP="2BB49AEC">
          <w:pPr>
            <w:ind w:right="-115"/>
            <w:jc w:val="right"/>
          </w:pPr>
        </w:p>
      </w:tc>
    </w:tr>
  </w:tbl>
  <w:p w14:paraId="3931EF6B" w14:textId="77777777" w:rsidR="00D307A3" w:rsidRDefault="00D307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00D307A3" w14:paraId="07BE812A" w14:textId="77777777" w:rsidTr="2BB49AEC">
      <w:tc>
        <w:tcPr>
          <w:tcW w:w="2940" w:type="dxa"/>
        </w:tcPr>
        <w:p w14:paraId="05BA36FD" w14:textId="77777777" w:rsidR="00D307A3" w:rsidRDefault="00D307A3" w:rsidP="2BB49AEC">
          <w:pPr>
            <w:ind w:left="-115"/>
          </w:pPr>
        </w:p>
      </w:tc>
      <w:tc>
        <w:tcPr>
          <w:tcW w:w="2940" w:type="dxa"/>
        </w:tcPr>
        <w:p w14:paraId="53DC2D4C" w14:textId="77777777" w:rsidR="00D307A3" w:rsidRDefault="00D307A3" w:rsidP="2BB49AEC">
          <w:pPr>
            <w:jc w:val="center"/>
          </w:pPr>
        </w:p>
      </w:tc>
      <w:tc>
        <w:tcPr>
          <w:tcW w:w="2940" w:type="dxa"/>
        </w:tcPr>
        <w:p w14:paraId="40C2AEF3" w14:textId="77777777" w:rsidR="00D307A3" w:rsidRDefault="00D307A3" w:rsidP="2BB49AEC">
          <w:pPr>
            <w:ind w:right="-115"/>
            <w:jc w:val="right"/>
          </w:pPr>
        </w:p>
      </w:tc>
    </w:tr>
  </w:tbl>
  <w:p w14:paraId="326DD66A" w14:textId="77777777" w:rsidR="00D307A3" w:rsidRDefault="00D307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A3"/>
    <w:rsid w:val="000A09B7"/>
    <w:rsid w:val="00190E68"/>
    <w:rsid w:val="001A0FF3"/>
    <w:rsid w:val="007A59E8"/>
    <w:rsid w:val="00885108"/>
    <w:rsid w:val="00942B06"/>
    <w:rsid w:val="00943222"/>
    <w:rsid w:val="00960C24"/>
    <w:rsid w:val="009A2BF0"/>
    <w:rsid w:val="009C5076"/>
    <w:rsid w:val="00A158FF"/>
    <w:rsid w:val="00B66809"/>
    <w:rsid w:val="00BC2D0B"/>
    <w:rsid w:val="00BC39D4"/>
    <w:rsid w:val="00D307A3"/>
    <w:rsid w:val="00D3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E19F9"/>
  <w15:chartTrackingRefBased/>
  <w15:docId w15:val="{667E3C93-51A5-477F-903D-3E42222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7A3"/>
    <w:rPr>
      <w:rFonts w:eastAsiaTheme="majorEastAsia" w:cstheme="majorBidi"/>
      <w:color w:val="272727" w:themeColor="text1" w:themeTint="D8"/>
    </w:rPr>
  </w:style>
  <w:style w:type="paragraph" w:styleId="Title">
    <w:name w:val="Title"/>
    <w:basedOn w:val="Normal"/>
    <w:next w:val="Normal"/>
    <w:link w:val="TitleChar"/>
    <w:uiPriority w:val="10"/>
    <w:qFormat/>
    <w:rsid w:val="00D30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7A3"/>
    <w:pPr>
      <w:spacing w:before="160"/>
      <w:jc w:val="center"/>
    </w:pPr>
    <w:rPr>
      <w:i/>
      <w:iCs/>
      <w:color w:val="404040" w:themeColor="text1" w:themeTint="BF"/>
    </w:rPr>
  </w:style>
  <w:style w:type="character" w:customStyle="1" w:styleId="QuoteChar">
    <w:name w:val="Quote Char"/>
    <w:basedOn w:val="DefaultParagraphFont"/>
    <w:link w:val="Quote"/>
    <w:uiPriority w:val="29"/>
    <w:rsid w:val="00D307A3"/>
    <w:rPr>
      <w:i/>
      <w:iCs/>
      <w:color w:val="404040" w:themeColor="text1" w:themeTint="BF"/>
    </w:rPr>
  </w:style>
  <w:style w:type="paragraph" w:styleId="ListParagraph">
    <w:name w:val="List Paragraph"/>
    <w:basedOn w:val="Normal"/>
    <w:uiPriority w:val="34"/>
    <w:qFormat/>
    <w:rsid w:val="00D307A3"/>
    <w:pPr>
      <w:ind w:left="720"/>
      <w:contextualSpacing/>
    </w:pPr>
  </w:style>
  <w:style w:type="character" w:styleId="IntenseEmphasis">
    <w:name w:val="Intense Emphasis"/>
    <w:basedOn w:val="DefaultParagraphFont"/>
    <w:uiPriority w:val="21"/>
    <w:qFormat/>
    <w:rsid w:val="00D307A3"/>
    <w:rPr>
      <w:i/>
      <w:iCs/>
      <w:color w:val="0F4761" w:themeColor="accent1" w:themeShade="BF"/>
    </w:rPr>
  </w:style>
  <w:style w:type="paragraph" w:styleId="IntenseQuote">
    <w:name w:val="Intense Quote"/>
    <w:basedOn w:val="Normal"/>
    <w:next w:val="Normal"/>
    <w:link w:val="IntenseQuoteChar"/>
    <w:uiPriority w:val="30"/>
    <w:qFormat/>
    <w:rsid w:val="00D30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7A3"/>
    <w:rPr>
      <w:i/>
      <w:iCs/>
      <w:color w:val="0F4761" w:themeColor="accent1" w:themeShade="BF"/>
    </w:rPr>
  </w:style>
  <w:style w:type="character" w:styleId="IntenseReference">
    <w:name w:val="Intense Reference"/>
    <w:basedOn w:val="DefaultParagraphFont"/>
    <w:uiPriority w:val="32"/>
    <w:qFormat/>
    <w:rsid w:val="00D307A3"/>
    <w:rPr>
      <w:b/>
      <w:bCs/>
      <w:smallCaps/>
      <w:color w:val="0F4761" w:themeColor="accent1" w:themeShade="BF"/>
      <w:spacing w:val="5"/>
    </w:rPr>
  </w:style>
  <w:style w:type="paragraph" w:styleId="Footer">
    <w:name w:val="footer"/>
    <w:basedOn w:val="Normal"/>
    <w:link w:val="FooterChar"/>
    <w:uiPriority w:val="99"/>
    <w:unhideWhenUsed/>
    <w:rsid w:val="00D30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A3"/>
  </w:style>
  <w:style w:type="character" w:styleId="PageNumber">
    <w:name w:val="page number"/>
    <w:basedOn w:val="DefaultParagraphFont"/>
    <w:rsid w:val="00D307A3"/>
  </w:style>
  <w:style w:type="character" w:customStyle="1" w:styleId="fontstyle01">
    <w:name w:val="fontstyle01"/>
    <w:basedOn w:val="DefaultParagraphFont"/>
    <w:rsid w:val="00D307A3"/>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D30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Sierra Buckridge</cp:lastModifiedBy>
  <cp:revision>2</cp:revision>
  <dcterms:created xsi:type="dcterms:W3CDTF">2026-03-30T13:50:00Z</dcterms:created>
  <dcterms:modified xsi:type="dcterms:W3CDTF">2026-03-30T13:50:00Z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58f58-10e5-4ba9-8ca6-ebc54ffad91e_Enabled">
    <vt:lpwstr>true</vt:lpwstr>
  </property>
  <property fmtid="{D5CDD505-2E9C-101B-9397-08002B2CF9AE}" pid="3" name="MSIP_Label_84758f58-10e5-4ba9-8ca6-ebc54ffad91e_SetDate">
    <vt:lpwstr>2026-03-29T19:27:52Z</vt:lpwstr>
  </property>
  <property fmtid="{D5CDD505-2E9C-101B-9397-08002B2CF9AE}" pid="4" name="MSIP_Label_84758f58-10e5-4ba9-8ca6-ebc54ffad91e_Method">
    <vt:lpwstr>Privileged</vt:lpwstr>
  </property>
  <property fmtid="{D5CDD505-2E9C-101B-9397-08002B2CF9AE}" pid="5" name="MSIP_Label_84758f58-10e5-4ba9-8ca6-ebc54ffad91e_Name">
    <vt:lpwstr>Sensitive</vt:lpwstr>
  </property>
  <property fmtid="{D5CDD505-2E9C-101B-9397-08002B2CF9AE}" pid="6" name="MSIP_Label_84758f58-10e5-4ba9-8ca6-ebc54ffad91e_SiteId">
    <vt:lpwstr>ea3fc1c8-4fa8-40da-bc82-4721a80fd619</vt:lpwstr>
  </property>
  <property fmtid="{D5CDD505-2E9C-101B-9397-08002B2CF9AE}" pid="7" name="MSIP_Label_84758f58-10e5-4ba9-8ca6-ebc54ffad91e_ActionId">
    <vt:lpwstr>1bee34b3-1f71-48f6-90aa-6048b613f544</vt:lpwstr>
  </property>
  <property fmtid="{D5CDD505-2E9C-101B-9397-08002B2CF9AE}" pid="8" name="MSIP_Label_84758f58-10e5-4ba9-8ca6-ebc54ffad91e_ContentBits">
    <vt:lpwstr>0</vt:lpwstr>
  </property>
  <property fmtid="{D5CDD505-2E9C-101B-9397-08002B2CF9AE}" pid="9" name="MSIP_Label_84758f58-10e5-4ba9-8ca6-ebc54ffad91e_Tag">
    <vt:lpwstr>10, 0, 1, 1</vt:lpwstr>
  </property>
</Properties>
</file>