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A270" w14:textId="77777777" w:rsidR="005A4C13" w:rsidRPr="005A4C13" w:rsidRDefault="005A4C13" w:rsidP="005A4C13">
      <w:pPr>
        <w:keepNext/>
        <w:keepLines/>
        <w:spacing w:before="360" w:after="80" w:line="276" w:lineRule="auto"/>
        <w:ind w:left="360" w:right="130" w:hanging="36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Toc35437119"/>
      <w:bookmarkStart w:id="1" w:name="_Toc37415782"/>
      <w:bookmarkStart w:id="2" w:name="_Toc98500992"/>
      <w:r w:rsidRPr="005A4C1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  <w:t>Ap</w:t>
      </w:r>
      <w:bookmarkStart w:id="3" w:name="Appendix_D"/>
      <w:r w:rsidRPr="005A4C13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  <w:t>pendix D</w:t>
      </w:r>
      <w:bookmarkEnd w:id="0"/>
      <w:bookmarkEnd w:id="1"/>
      <w:bookmarkEnd w:id="2"/>
      <w:bookmarkEnd w:id="3"/>
    </w:p>
    <w:p w14:paraId="650A7867" w14:textId="77777777" w:rsidR="005A4C13" w:rsidRPr="005A4C13" w:rsidRDefault="005A4C13" w:rsidP="005A4C13">
      <w:pPr>
        <w:spacing w:before="240" w:after="0" w:line="276" w:lineRule="auto"/>
        <w:ind w:left="360" w:right="130" w:hanging="360"/>
        <w:jc w:val="center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5A4C13">
        <w:rPr>
          <w:rFonts w:asciiTheme="majorHAnsi" w:hAnsiTheme="majorHAnsi" w:cstheme="majorHAnsi"/>
          <w:b/>
          <w:bCs/>
          <w:kern w:val="0"/>
          <w14:ligatures w14:val="none"/>
        </w:rPr>
        <w:t>ATTESTATION REGARDING PERSONNEL POLICIES</w:t>
      </w:r>
    </w:p>
    <w:p w14:paraId="5DB9FFD4" w14:textId="1D507450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In lieu of submitting the organization’s complete personnel policies and procedures proposers must complete this assurance that their personnel policies address the following elements at a minimum.  Personnel policies and procedures will be verified as a part of the pre-award review should the proposal be selected for consideration.</w:t>
      </w:r>
    </w:p>
    <w:p w14:paraId="43983DE2" w14:textId="77777777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5A4C13">
        <w:rPr>
          <w:rFonts w:asciiTheme="majorHAnsi" w:hAnsiTheme="majorHAnsi" w:cstheme="majorHAnsi"/>
          <w:kern w:val="0"/>
          <w14:ligatures w14:val="none"/>
        </w:rPr>
        <w:instrText xml:space="preserve"> FORMCHECKBOX </w:instrText>
      </w:r>
      <w:r w:rsidRPr="005A4C13">
        <w:rPr>
          <w:rFonts w:asciiTheme="majorHAnsi" w:hAnsiTheme="majorHAnsi" w:cstheme="majorHAnsi"/>
          <w:kern w:val="0"/>
          <w14:ligatures w14:val="none"/>
        </w:rPr>
      </w:r>
      <w:r w:rsidRPr="005A4C13">
        <w:rPr>
          <w:rFonts w:asciiTheme="majorHAnsi" w:hAnsiTheme="majorHAnsi" w:cstheme="majorHAnsi"/>
          <w:kern w:val="0"/>
          <w14:ligatures w14:val="none"/>
        </w:rPr>
        <w:fldChar w:fldCharType="separate"/>
      </w:r>
      <w:r w:rsidRPr="005A4C13">
        <w:rPr>
          <w:rFonts w:asciiTheme="majorHAnsi" w:hAnsiTheme="majorHAnsi" w:cstheme="majorHAnsi"/>
          <w:kern w:val="0"/>
          <w14:ligatures w14:val="none"/>
        </w:rPr>
        <w:fldChar w:fldCharType="end"/>
      </w:r>
      <w:bookmarkEnd w:id="4"/>
      <w:r w:rsidRPr="005A4C13">
        <w:rPr>
          <w:rFonts w:asciiTheme="majorHAnsi" w:hAnsiTheme="majorHAnsi" w:cstheme="majorHAnsi"/>
          <w:kern w:val="0"/>
          <w14:ligatures w14:val="none"/>
        </w:rPr>
        <w:t xml:space="preserve">  Proposer attests that the organization’s personnel policies and procedures do address the following elements:</w:t>
      </w:r>
    </w:p>
    <w:p w14:paraId="428AE716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Terms and conditions for employment</w:t>
      </w:r>
    </w:p>
    <w:p w14:paraId="65D0049E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Employee compensation and fringe benefits</w:t>
      </w:r>
    </w:p>
    <w:p w14:paraId="784E0221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Holidays, vacation, and sick leave</w:t>
      </w:r>
    </w:p>
    <w:p w14:paraId="63B498EF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Travel policies and reimbursement of travel expenses</w:t>
      </w:r>
    </w:p>
    <w:p w14:paraId="225BE6DD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Conflict of interest policy</w:t>
      </w:r>
    </w:p>
    <w:p w14:paraId="3AB45E30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Employee grievance procedures</w:t>
      </w:r>
    </w:p>
    <w:p w14:paraId="348E303B" w14:textId="77777777" w:rsidR="005A4C13" w:rsidRPr="005A4C13" w:rsidRDefault="005A4C13" w:rsidP="005A4C13">
      <w:pPr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right="13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Employee code of conduct</w:t>
      </w:r>
    </w:p>
    <w:p w14:paraId="4DDD0446" w14:textId="7BFFD810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5A4C13">
        <w:rPr>
          <w:rFonts w:asciiTheme="majorHAnsi" w:hAnsiTheme="majorHAnsi" w:cstheme="majorHAnsi"/>
          <w:kern w:val="0"/>
          <w14:ligatures w14:val="none"/>
        </w:rPr>
        <w:instrText xml:space="preserve"> FORMCHECKBOX </w:instrText>
      </w:r>
      <w:r w:rsidRPr="005A4C13">
        <w:rPr>
          <w:rFonts w:asciiTheme="majorHAnsi" w:hAnsiTheme="majorHAnsi" w:cstheme="majorHAnsi"/>
          <w:kern w:val="0"/>
          <w14:ligatures w14:val="none"/>
        </w:rPr>
      </w:r>
      <w:r w:rsidRPr="005A4C13">
        <w:rPr>
          <w:rFonts w:asciiTheme="majorHAnsi" w:hAnsiTheme="majorHAnsi" w:cstheme="majorHAnsi"/>
          <w:kern w:val="0"/>
          <w14:ligatures w14:val="none"/>
        </w:rPr>
        <w:fldChar w:fldCharType="separate"/>
      </w:r>
      <w:r w:rsidRPr="005A4C13">
        <w:rPr>
          <w:rFonts w:asciiTheme="majorHAnsi" w:hAnsiTheme="majorHAnsi" w:cstheme="majorHAnsi"/>
          <w:kern w:val="0"/>
          <w14:ligatures w14:val="none"/>
        </w:rPr>
        <w:fldChar w:fldCharType="end"/>
      </w:r>
      <w:bookmarkEnd w:id="5"/>
      <w:r w:rsidRPr="005A4C13">
        <w:rPr>
          <w:rFonts w:asciiTheme="majorHAnsi" w:hAnsiTheme="majorHAnsi" w:cstheme="majorHAnsi"/>
          <w:kern w:val="0"/>
          <w14:ligatures w14:val="none"/>
        </w:rPr>
        <w:t xml:space="preserve">  If applying for Workforce funds, the proposer attests that the organization has policies and procedures in place to ensure adherence to and compliance with the provisions of </w:t>
      </w:r>
      <w:r w:rsidR="001D70FB">
        <w:rPr>
          <w:rFonts w:asciiTheme="majorHAnsi" w:hAnsiTheme="majorHAnsi" w:cstheme="majorHAnsi"/>
          <w:kern w:val="0"/>
          <w14:ligatures w14:val="none"/>
        </w:rPr>
        <w:t xml:space="preserve">, but not limited to: </w:t>
      </w:r>
      <w:r w:rsidRPr="005A4C13">
        <w:rPr>
          <w:rFonts w:asciiTheme="majorHAnsi" w:hAnsiTheme="majorHAnsi" w:cstheme="majorHAnsi"/>
          <w:kern w:val="0"/>
          <w14:ligatures w14:val="none"/>
        </w:rPr>
        <w:t xml:space="preserve">Public Law (PL) 109-234, Section </w:t>
      </w:r>
      <w:r w:rsidR="001D70FB">
        <w:rPr>
          <w:rFonts w:asciiTheme="majorHAnsi" w:hAnsiTheme="majorHAnsi" w:cstheme="majorHAnsi"/>
          <w:kern w:val="0"/>
          <w14:ligatures w14:val="none"/>
        </w:rPr>
        <w:t>, Change 1</w:t>
      </w:r>
      <w:r w:rsidRPr="005A4C13">
        <w:rPr>
          <w:rFonts w:asciiTheme="majorHAnsi" w:hAnsiTheme="majorHAnsi" w:cstheme="majorHAnsi"/>
          <w:kern w:val="0"/>
          <w14:ligatures w14:val="none"/>
        </w:rPr>
        <w:t>7013; Texas Workforce Commission (TWC) Workforce Development (WD) letter  28-07</w:t>
      </w:r>
      <w:r w:rsidR="001D70FB">
        <w:rPr>
          <w:rFonts w:asciiTheme="majorHAnsi" w:hAnsiTheme="majorHAnsi" w:cstheme="majorHAnsi"/>
          <w:kern w:val="0"/>
          <w14:ligatures w14:val="none"/>
        </w:rPr>
        <w:t>, Change 1</w:t>
      </w:r>
      <w:r w:rsidRPr="005A4C13">
        <w:rPr>
          <w:rFonts w:asciiTheme="majorHAnsi" w:hAnsiTheme="majorHAnsi" w:cstheme="majorHAnsi"/>
          <w:kern w:val="0"/>
          <w14:ligatures w14:val="none"/>
        </w:rPr>
        <w:t>; and the TWC Financial Manual for Grants and Contracts (FMGC) §10.2 as related to limitations on salaries and bonuses paid with Workforce Investment Act and Wagner-Peyser funds.</w:t>
      </w:r>
    </w:p>
    <w:p w14:paraId="32F9DE27" w14:textId="77777777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I understand that the verification of the adequacy of personnel policies and procedures will be part of the pre-award review should this organization be selected.</w:t>
      </w:r>
    </w:p>
    <w:p w14:paraId="36CC4726" w14:textId="6A571FB9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Signature____________________________</w:t>
      </w:r>
      <w:r w:rsidR="001D70FB">
        <w:rPr>
          <w:rFonts w:asciiTheme="majorHAnsi" w:hAnsiTheme="majorHAnsi" w:cstheme="majorHAnsi"/>
          <w:kern w:val="0"/>
          <w14:ligatures w14:val="none"/>
        </w:rPr>
        <w:tab/>
      </w:r>
      <w:r w:rsidRPr="005A4C13">
        <w:rPr>
          <w:rFonts w:asciiTheme="majorHAnsi" w:hAnsiTheme="majorHAnsi" w:cstheme="majorHAnsi"/>
          <w:kern w:val="0"/>
          <w14:ligatures w14:val="none"/>
        </w:rPr>
        <w:t>Date______________________</w:t>
      </w:r>
    </w:p>
    <w:p w14:paraId="55D2537F" w14:textId="77777777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</w:p>
    <w:p w14:paraId="00DA0F0D" w14:textId="77777777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Printed Name and Title__________________________________________</w:t>
      </w:r>
    </w:p>
    <w:p w14:paraId="7273AC4E" w14:textId="77777777" w:rsidR="005A4C13" w:rsidRPr="005A4C13" w:rsidRDefault="005A4C13" w:rsidP="005A4C13">
      <w:pPr>
        <w:autoSpaceDE w:val="0"/>
        <w:autoSpaceDN w:val="0"/>
        <w:adjustRightInd w:val="0"/>
        <w:spacing w:before="240" w:after="0" w:line="276" w:lineRule="auto"/>
        <w:ind w:left="360" w:right="130" w:hanging="360"/>
        <w:rPr>
          <w:rFonts w:asciiTheme="majorHAnsi" w:hAnsiTheme="majorHAnsi" w:cstheme="majorHAnsi"/>
          <w:kern w:val="0"/>
          <w14:ligatures w14:val="none"/>
        </w:rPr>
      </w:pPr>
      <w:r w:rsidRPr="005A4C13">
        <w:rPr>
          <w:rFonts w:asciiTheme="majorHAnsi" w:hAnsiTheme="majorHAnsi" w:cstheme="majorHAnsi"/>
          <w:kern w:val="0"/>
          <w14:ligatures w14:val="none"/>
        </w:rPr>
        <w:t>Organization Name________________________________________________</w:t>
      </w:r>
      <w:bookmarkStart w:id="6" w:name="_Appendix_E"/>
      <w:bookmarkEnd w:id="6"/>
    </w:p>
    <w:p w14:paraId="46956861" w14:textId="77777777" w:rsidR="00942B06" w:rsidRDefault="00942B06"/>
    <w:sectPr w:rsidR="00942B06" w:rsidSect="005A4C1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BD843" w14:textId="77777777" w:rsidR="00B54F37" w:rsidRDefault="00B54F37" w:rsidP="001D70FB">
      <w:pPr>
        <w:spacing w:after="0" w:line="240" w:lineRule="auto"/>
      </w:pPr>
      <w:r>
        <w:separator/>
      </w:r>
    </w:p>
  </w:endnote>
  <w:endnote w:type="continuationSeparator" w:id="0">
    <w:p w14:paraId="2A60E838" w14:textId="77777777" w:rsidR="00B54F37" w:rsidRDefault="00B54F37" w:rsidP="001D7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8A0" w14:textId="4D651668" w:rsidR="001D70FB" w:rsidRDefault="001D70FB" w:rsidP="001D70FB">
    <w:pPr>
      <w:pStyle w:val="Footer"/>
    </w:pPr>
    <w:r w:rsidRPr="00CD0641">
      <w:rPr>
        <w:sz w:val="16"/>
        <w:szCs w:val="16"/>
      </w:rPr>
      <w:t>CVWDB RFP- Operation &amp; Management of WFS Center, Programs &amp; Child Care Svc. 3.30.26</w:t>
    </w:r>
    <w:r>
      <w:rPr>
        <w:sz w:val="16"/>
        <w:szCs w:val="16"/>
      </w:rPr>
      <w:t xml:space="preserve"> App. D</w:t>
    </w:r>
  </w:p>
  <w:sdt>
    <w:sdtPr>
      <w:id w:val="27368485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BDBEC5" w14:textId="12F2C674" w:rsidR="001D70FB" w:rsidRDefault="001D70FB" w:rsidP="001D70FB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80D086" w14:textId="77777777" w:rsidR="001D70FB" w:rsidRDefault="001D70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5457" w14:textId="77777777" w:rsidR="00B54F37" w:rsidRDefault="00B54F37" w:rsidP="001D70FB">
      <w:pPr>
        <w:spacing w:after="0" w:line="240" w:lineRule="auto"/>
      </w:pPr>
      <w:r>
        <w:separator/>
      </w:r>
    </w:p>
  </w:footnote>
  <w:footnote w:type="continuationSeparator" w:id="0">
    <w:p w14:paraId="6BB0B7A5" w14:textId="77777777" w:rsidR="00B54F37" w:rsidRDefault="00B54F37" w:rsidP="001D7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9EC"/>
    <w:multiLevelType w:val="hybridMultilevel"/>
    <w:tmpl w:val="9E628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802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13"/>
    <w:rsid w:val="00101F04"/>
    <w:rsid w:val="001A0FF3"/>
    <w:rsid w:val="001D70FB"/>
    <w:rsid w:val="005A4C13"/>
    <w:rsid w:val="00942B06"/>
    <w:rsid w:val="00AB2AED"/>
    <w:rsid w:val="00B54F37"/>
    <w:rsid w:val="00BC2D0B"/>
    <w:rsid w:val="00E5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9AB3"/>
  <w15:chartTrackingRefBased/>
  <w15:docId w15:val="{3B33D922-1C37-47DB-8650-6089A6E4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C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7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0FB"/>
  </w:style>
  <w:style w:type="paragraph" w:styleId="Footer">
    <w:name w:val="footer"/>
    <w:basedOn w:val="Normal"/>
    <w:link w:val="FooterChar"/>
    <w:uiPriority w:val="99"/>
    <w:unhideWhenUsed/>
    <w:rsid w:val="001D7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1407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Sierra Buckridge</cp:lastModifiedBy>
  <cp:revision>3</cp:revision>
  <dcterms:created xsi:type="dcterms:W3CDTF">2026-03-30T13:44:00Z</dcterms:created>
  <dcterms:modified xsi:type="dcterms:W3CDTF">2026-03-30T13:45:00Z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2026-03-29T17:41:38Z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865cb7ee-2198-4ea8-8872-1bb3535d4397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